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E0479" w14:textId="77777777" w:rsidR="000C6F5D" w:rsidRDefault="00000000">
      <w:pPr>
        <w:pStyle w:val="Title"/>
      </w:pPr>
      <w:r>
        <w:t>The Happy Citta Method: Foundations, Framework and Evidence</w:t>
      </w:r>
    </w:p>
    <w:p w14:paraId="4B4E3A39" w14:textId="2928DF13" w:rsidR="000C6F5D" w:rsidRDefault="00000000">
      <w:pPr>
        <w:pStyle w:val="Subtitle"/>
      </w:pPr>
      <w:r>
        <w:t>A working paper</w:t>
      </w:r>
    </w:p>
    <w:p w14:paraId="131C7341" w14:textId="77777777" w:rsidR="000C6F5D" w:rsidRDefault="00000000">
      <w:pPr>
        <w:spacing w:before="640"/>
      </w:pPr>
      <w:r>
        <w:rPr>
          <w:b/>
          <w:color w:val="B96F52"/>
          <w:sz w:val="36"/>
        </w:rPr>
        <w:t>HAPPY CITTA</w:t>
      </w:r>
    </w:p>
    <w:p w14:paraId="457E3039" w14:textId="70BF0A36" w:rsidR="000C6F5D" w:rsidRDefault="00000000" w:rsidP="007E4FBE">
      <w:pPr>
        <w:tabs>
          <w:tab w:val="left" w:pos="7680"/>
        </w:tabs>
      </w:pPr>
      <w:r>
        <w:rPr>
          <w:i/>
        </w:rPr>
        <w:t>Psychological understanding and proportionate change delivery</w:t>
      </w:r>
      <w:r w:rsidR="007E4FBE">
        <w:rPr>
          <w:i/>
        </w:rPr>
        <w:tab/>
      </w:r>
    </w:p>
    <w:p w14:paraId="150CC99C" w14:textId="56F4EFEC" w:rsidR="000C6F5D" w:rsidRDefault="007E4FBE">
      <w:pPr>
        <w:spacing w:before="3400"/>
      </w:pPr>
      <w:r>
        <w:rPr>
          <w:noProof/>
          <w:color w:val="666666"/>
          <w:sz w:val="16"/>
        </w:rPr>
        <w:drawing>
          <wp:anchor distT="0" distB="0" distL="114300" distR="114300" simplePos="0" relativeHeight="251658240" behindDoc="0" locked="0" layoutInCell="1" allowOverlap="1" wp14:anchorId="0A30F122" wp14:editId="7E24D91B">
            <wp:simplePos x="0" y="0"/>
            <wp:positionH relativeFrom="margin">
              <wp:align>left</wp:align>
            </wp:positionH>
            <wp:positionV relativeFrom="paragraph">
              <wp:posOffset>334645</wp:posOffset>
            </wp:positionV>
            <wp:extent cx="2737485" cy="1082040"/>
            <wp:effectExtent l="0" t="0" r="0" b="3810"/>
            <wp:wrapThrough wrapText="bothSides">
              <wp:wrapPolygon edited="0">
                <wp:start x="9770" y="380"/>
                <wp:lineTo x="3006" y="3423"/>
                <wp:lineTo x="1804" y="5324"/>
                <wp:lineTo x="1954" y="17873"/>
                <wp:lineTo x="3908" y="19394"/>
                <wp:lineTo x="11724" y="21296"/>
                <wp:lineTo x="12927" y="21296"/>
                <wp:lineTo x="13077" y="20535"/>
                <wp:lineTo x="17286" y="19014"/>
                <wp:lineTo x="19992" y="16352"/>
                <wp:lineTo x="19541" y="13310"/>
                <wp:lineTo x="19691" y="13310"/>
                <wp:lineTo x="17737" y="7225"/>
                <wp:lineTo x="17887" y="4944"/>
                <wp:lineTo x="13678" y="1521"/>
                <wp:lineTo x="10372" y="380"/>
                <wp:lineTo x="9770" y="380"/>
              </wp:wrapPolygon>
            </wp:wrapThrough>
            <wp:docPr id="2056920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1701" name="Picture 177111701"/>
                    <pic:cNvPicPr/>
                  </pic:nvPicPr>
                  <pic:blipFill rotWithShape="1">
                    <a:blip r:embed="rId8"/>
                    <a:srcRect t="31204" b="29271"/>
                    <a:stretch>
                      <a:fillRect/>
                    </a:stretch>
                  </pic:blipFill>
                  <pic:spPr bwMode="auto">
                    <a:xfrm>
                      <a:off x="0" y="0"/>
                      <a:ext cx="2737485" cy="1082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Pr>
          <w:color w:val="666666"/>
        </w:rPr>
        <w:t>Version 0.2 | September 2026</w:t>
      </w:r>
    </w:p>
    <w:p w14:paraId="269F236A" w14:textId="77777777" w:rsidR="000C6F5D" w:rsidRDefault="00000000">
      <w:r>
        <w:rPr>
          <w:b/>
        </w:rPr>
        <w:t>Status: proposed evidence-informed methodology; not yet a validated intervention</w:t>
      </w:r>
    </w:p>
    <w:p w14:paraId="421E66C2" w14:textId="77777777" w:rsidR="000C6F5D" w:rsidRDefault="00000000">
      <w:r>
        <w:br w:type="page"/>
      </w:r>
    </w:p>
    <w:p w14:paraId="235904BC" w14:textId="77777777" w:rsidR="000C6F5D" w:rsidRDefault="00000000">
      <w:pPr>
        <w:pStyle w:val="Heading1"/>
      </w:pPr>
      <w:r>
        <w:lastRenderedPageBreak/>
        <w:t>Contents</w:t>
      </w:r>
    </w:p>
    <w:p w14:paraId="29175520" w14:textId="77777777" w:rsidR="000C6F5D" w:rsidRDefault="00000000">
      <w:pPr>
        <w:pStyle w:val="ListBullet"/>
        <w:spacing w:after="40"/>
      </w:pPr>
      <w:r>
        <w:t>Abstract</w:t>
      </w:r>
    </w:p>
    <w:p w14:paraId="7F296245" w14:textId="77777777" w:rsidR="000C6F5D" w:rsidRDefault="00000000">
      <w:pPr>
        <w:pStyle w:val="ListBullet"/>
        <w:shd w:val="clear" w:color="auto" w:fill="F7F3EB"/>
        <w:spacing w:after="40"/>
      </w:pPr>
      <w:r>
        <w:t>1. Purpose and origins</w:t>
      </w:r>
    </w:p>
    <w:p w14:paraId="71ABF35D" w14:textId="77777777" w:rsidR="000C6F5D" w:rsidRDefault="00000000">
      <w:pPr>
        <w:pStyle w:val="ListBullet"/>
        <w:spacing w:after="40"/>
      </w:pPr>
      <w:r>
        <w:t>2. Theoretical rationale</w:t>
      </w:r>
    </w:p>
    <w:p w14:paraId="6CA43231" w14:textId="77777777" w:rsidR="000C6F5D" w:rsidRDefault="00000000">
      <w:pPr>
        <w:pStyle w:val="ListBullet"/>
        <w:spacing w:after="40"/>
      </w:pPr>
      <w:r>
        <w:t>3. The five-stage Happy Citta Method</w:t>
      </w:r>
    </w:p>
    <w:p w14:paraId="722661EE" w14:textId="77777777" w:rsidR="000C6F5D" w:rsidRDefault="00000000">
      <w:pPr>
        <w:pStyle w:val="ListBullet"/>
        <w:spacing w:after="40"/>
      </w:pPr>
      <w:r>
        <w:t>4. Evidence and theoretical foundations</w:t>
      </w:r>
    </w:p>
    <w:p w14:paraId="4587E976" w14:textId="77777777" w:rsidR="000C6F5D" w:rsidRDefault="00000000">
      <w:pPr>
        <w:pStyle w:val="ListBullet"/>
        <w:spacing w:after="40"/>
      </w:pPr>
      <w:r>
        <w:t>5. Iteration, gates and technique selection</w:t>
      </w:r>
    </w:p>
    <w:p w14:paraId="0A143368" w14:textId="77777777" w:rsidR="000C6F5D" w:rsidRDefault="00000000">
      <w:pPr>
        <w:pStyle w:val="ListBullet"/>
        <w:spacing w:after="40"/>
      </w:pPr>
      <w:r>
        <w:t>6. Individual and organisational applications</w:t>
      </w:r>
    </w:p>
    <w:p w14:paraId="4404C099" w14:textId="77777777" w:rsidR="000C6F5D" w:rsidRDefault="00000000">
      <w:pPr>
        <w:pStyle w:val="ListBullet"/>
        <w:spacing w:after="40"/>
      </w:pPr>
      <w:r>
        <w:t>7. Boundaries and ethical considerations</w:t>
      </w:r>
    </w:p>
    <w:p w14:paraId="055D80AE" w14:textId="77777777" w:rsidR="000C6F5D" w:rsidRDefault="00000000">
      <w:pPr>
        <w:pStyle w:val="ListBullet"/>
        <w:spacing w:after="40"/>
      </w:pPr>
      <w:r>
        <w:t>8. Current evidence and limitations</w:t>
      </w:r>
    </w:p>
    <w:p w14:paraId="6F1E578B" w14:textId="77777777" w:rsidR="000C6F5D" w:rsidRDefault="00000000">
      <w:pPr>
        <w:pStyle w:val="ListBullet"/>
        <w:spacing w:after="40"/>
      </w:pPr>
      <w:r>
        <w:t>9. Testing and development</w:t>
      </w:r>
    </w:p>
    <w:p w14:paraId="7A116282" w14:textId="77777777" w:rsidR="000C6F5D" w:rsidRDefault="00000000">
      <w:pPr>
        <w:pStyle w:val="ListBullet"/>
        <w:spacing w:after="40"/>
      </w:pPr>
      <w:r>
        <w:t>10. Conclusion</w:t>
      </w:r>
    </w:p>
    <w:p w14:paraId="07FD0E8A" w14:textId="77777777" w:rsidR="000C6F5D" w:rsidRDefault="00000000">
      <w:pPr>
        <w:pStyle w:val="ListBullet"/>
        <w:spacing w:after="40"/>
      </w:pPr>
      <w:r>
        <w:t>References</w:t>
      </w:r>
    </w:p>
    <w:p w14:paraId="12237A9C" w14:textId="77777777" w:rsidR="000C6F5D" w:rsidRDefault="00000000">
      <w:pPr>
        <w:pStyle w:val="Heading1"/>
      </w:pPr>
      <w:r>
        <w:t>Abstract</w:t>
      </w:r>
    </w:p>
    <w:p w14:paraId="7623682B" w14:textId="05B1A532" w:rsidR="000C6F5D" w:rsidRDefault="00000000">
      <w:pPr>
        <w:jc w:val="both"/>
      </w:pPr>
      <w:r>
        <w:t>The Happy Citta Method is a proposed psychology-informed framework for helping individuals and organisations move from understanding a change problem towards proportionate, sustainable action. It integrates psychological formulation, values and goal clarification, behaviour-change diagnosis and selected project and change-delivery practices within five stages: Understand, Clarify, Design, Change and Sustain. Two interacting tracks</w:t>
      </w:r>
      <w:r w:rsidR="00944422">
        <w:t xml:space="preserve">, </w:t>
      </w:r>
      <w:r>
        <w:t>inner change and practical delivery</w:t>
      </w:r>
      <w:r w:rsidR="00944422">
        <w:t xml:space="preserve">, </w:t>
      </w:r>
      <w:r>
        <w:t>remain active throughout, while safety, context, collaboration and review operate across the whole method. This paper explains the method’s origins, theoretical rationale, tools, applications and ethical boundaries. It distinguishes evidence supporting constituent approaches from evidence for their integration: although several components have established or promising evidence, the Happy Citta Method has not yet been validated as a complete intervention. A staged programme of co-design, feasibility testing and evaluation is therefore proposed before effectiveness, transferability or scalability claims are made.</w:t>
      </w:r>
    </w:p>
    <w:p w14:paraId="47602DFC" w14:textId="77777777" w:rsidR="000C6F5D" w:rsidRDefault="00000000">
      <w:pPr>
        <w:jc w:val="both"/>
      </w:pPr>
      <w:r>
        <w:rPr>
          <w:b/>
        </w:rPr>
        <w:t>Keywords:</w:t>
      </w:r>
      <w:r>
        <w:t xml:space="preserve"> behaviour change; psychological formulation; implementation; complex interventions; project delivery; workplace wellbeing</w:t>
      </w:r>
    </w:p>
    <w:p w14:paraId="4FD0F9D5" w14:textId="77777777" w:rsidR="000C6F5D" w:rsidRDefault="00000000">
      <w:pPr>
        <w:pStyle w:val="Heading1"/>
      </w:pPr>
      <w:r>
        <w:t>1. Purpose and origins</w:t>
      </w:r>
    </w:p>
    <w:p w14:paraId="1F0D3FB1" w14:textId="77777777" w:rsidR="000C6F5D" w:rsidRDefault="00000000">
      <w:pPr>
        <w:jc w:val="both"/>
      </w:pPr>
      <w:r>
        <w:t>Many people understand why they feel or behave as they do yet remain unsure how to translate that insight into everyday change. Conversely, conventional planning can define tasks, milestones and responsibilities while overlooking ambivalence, threat, identity, meaning and the environment in which action must occur. The Happy Citta Method was developed in response to this practical divide. Its purpose is to connect psychologically informed understanding with structured implementation without reducing a person to a project or presenting project management as therapy.</w:t>
      </w:r>
    </w:p>
    <w:p w14:paraId="5A511E93" w14:textId="77777777" w:rsidR="000C6F5D" w:rsidRDefault="00000000">
      <w:pPr>
        <w:jc w:val="both"/>
      </w:pPr>
      <w:r>
        <w:t xml:space="preserve">The method arose from the founder’s combined experience of therapeutic practice, project delivery and organisational change. An early concept explored whether Belbin’s team roles, Tuckman’s stages of group development, the Kübler-Ross model and circles of influence could be overlaid to explain change. These models offered useful prompts: Tuckman (1965) described patterns in small-group development; Belbin (2010) drew attention to complementary contributions within teams; and Kübler-Ross (1969) described responses observed among people facing terminal illness. However, combining their stages as if they describe a single, predictable sequence would be conceptually weak. Tuckman’s model concerns group development, Belbin’s concerns team-role contributions, and Kübler-Ross did not develop a general organisational change model. Stage theories of grief have also been criticised when treated as universal </w:t>
      </w:r>
      <w:r>
        <w:lastRenderedPageBreak/>
        <w:t>prescriptions rather than possible experiences (Stroebe, Schut and Boerner, 2017). These ideas therefore remain optional lenses for particular team contexts, not the method’s causal foundation.</w:t>
      </w:r>
    </w:p>
    <w:p w14:paraId="750ECCDC" w14:textId="77777777" w:rsidR="000C6F5D" w:rsidRDefault="00000000">
      <w:pPr>
        <w:jc w:val="both"/>
      </w:pPr>
      <w:r>
        <w:t xml:space="preserve">The resulting framework moved away from a fixed emotional curve and towards a gated, iterative architecture. It draws more directly on complex-intervention development, behaviour-change theory, implementation intentions, relational evidence and proportionately adapted project-delivery principles. The provisional public promise is deliberately cautious: </w:t>
      </w:r>
      <w:r>
        <w:rPr>
          <w:b/>
        </w:rPr>
        <w:t>Happy Citta combines psychological understanding with structured change support, helping people move from insight towards practical, sustainable action.</w:t>
      </w:r>
      <w:r>
        <w:t xml:space="preserve"> The word </w:t>
      </w:r>
      <w:r>
        <w:rPr>
          <w:i/>
        </w:rPr>
        <w:t>towards</w:t>
      </w:r>
      <w:r>
        <w:t xml:space="preserve"> matters. It describes an intended contribution, not an established outcome.</w:t>
      </w:r>
    </w:p>
    <w:p w14:paraId="53D5FD7F" w14:textId="77777777" w:rsidR="000C6F5D" w:rsidRDefault="00000000">
      <w:pPr>
        <w:pStyle w:val="Heading1"/>
      </w:pPr>
      <w:r>
        <w:t>2. Theoretical rationale</w:t>
      </w:r>
    </w:p>
    <w:p w14:paraId="536AC86D" w14:textId="77777777" w:rsidR="000C6F5D" w:rsidRDefault="00000000">
      <w:pPr>
        <w:pStyle w:val="Heading2"/>
      </w:pPr>
      <w:r>
        <w:t>2.1 Change as a complex, contextual process</w:t>
      </w:r>
    </w:p>
    <w:p w14:paraId="4297EEE4" w14:textId="77777777" w:rsidR="000C6F5D" w:rsidRDefault="00000000">
      <w:pPr>
        <w:jc w:val="both"/>
      </w:pPr>
      <w:r>
        <w:t>Personal and organisational change rarely follows a linear pathway. Outcomes may depend on interacting components, relationships, resources, context and the way an intervention is implemented. The Medical Research Council framework consequently recommends developing programme theory, attending to context and stakeholders, identifying key uncertainties and refining interventions iteratively rather than treating evaluation as a final test of a finished product (Skivington et al., 2021). The Happy Citta Method adopts this logic: its five stages provide structure, but feedback can require a return to earlier understanding, clarification or design.</w:t>
      </w:r>
    </w:p>
    <w:p w14:paraId="59B46CE1" w14:textId="77777777" w:rsidR="000C6F5D" w:rsidRDefault="00000000">
      <w:pPr>
        <w:jc w:val="both"/>
      </w:pPr>
      <w:r>
        <w:t>This approach also rejects the assumption that stalled action is evidence of insufficient commitment. The COM-B model proposes that behaviour depends on capability, opportunity and motivation (Michie, van Stralen and West, 2011). Capability may include knowledge, skills, attention or psychological capacity; opportunity includes physical, social and organisational conditions; and motivation includes reflective intentions as well as habits, emotions and automatic responses. COM-B is used diagnostically within Happy Citta, helping select an appropriate response rather than supplying a complete intervention in itself.</w:t>
      </w:r>
    </w:p>
    <w:p w14:paraId="79C1DB96" w14:textId="77777777" w:rsidR="000C6F5D" w:rsidRDefault="00000000">
      <w:pPr>
        <w:pStyle w:val="Heading2"/>
      </w:pPr>
      <w:r>
        <w:t>2.2 Meaning, agency and action</w:t>
      </w:r>
    </w:p>
    <w:p w14:paraId="1D120042" w14:textId="77777777" w:rsidR="000C6F5D" w:rsidRDefault="00000000">
      <w:pPr>
        <w:jc w:val="both"/>
      </w:pPr>
      <w:r>
        <w:t>The method gives meaning and ownership priority over efficient execution. Values-oriented approaches, including Acceptance and Commitment Therapy (ACT), aim to support behaviour aligned with chosen values while making room for difficult internal experiences. Meta-analytic evidence supports ACT across a range of mental and physical health problems, although effects vary and cannot be assumed to transfer to a non-clinical integrated change method (A-Tjak et al., 2015). Logotherapy and meaning-centred approaches similarly foreground purpose and personal stance; evidence reviews suggest potential benefits but also identify methodological limitations and heterogeneity (Vos, Craig and Cooper, 2015).</w:t>
      </w:r>
    </w:p>
    <w:p w14:paraId="56A093B4" w14:textId="77777777" w:rsidR="000C6F5D" w:rsidRDefault="00000000">
      <w:pPr>
        <w:jc w:val="both"/>
      </w:pPr>
      <w:r>
        <w:t>Once a goal is sufficiently clear and owned, implementation intentions can connect anticipated situations with intended responses through an ‘if–then’ plan. Research indicates that such plans can improve goal enactment, particularly by helping people initiate action and respond to predictable obstacles (Gollwitzer, 1999; Gollwitzer and Sheeran, 2006). They cannot compensate for an unsuitable goal, insufficient opportunity, missing capability or unsafe context. Happy Citta therefore places implementation intentions after understanding, clarification and diagnosis rather than treating planning as the starting point.</w:t>
      </w:r>
    </w:p>
    <w:p w14:paraId="694F5547" w14:textId="77777777" w:rsidR="000C6F5D" w:rsidRDefault="00000000">
      <w:pPr>
        <w:pStyle w:val="Heading2"/>
      </w:pPr>
      <w:r>
        <w:t>2.3 Two interacting tracks</w:t>
      </w:r>
    </w:p>
    <w:p w14:paraId="23876C6C" w14:textId="77777777" w:rsidR="000C6F5D" w:rsidRDefault="00000000">
      <w:pPr>
        <w:jc w:val="both"/>
      </w:pPr>
      <w:r>
        <w:t xml:space="preserve">The method operates through two tracks. The </w:t>
      </w:r>
      <w:r>
        <w:rPr>
          <w:b/>
        </w:rPr>
        <w:t>inner-change track</w:t>
      </w:r>
      <w:r>
        <w:t xml:space="preserve"> attends to emotions, thoughts, meanings, beliefs, identity, values, motivation, relational patterns, safety and readiness. The </w:t>
      </w:r>
      <w:r>
        <w:rPr>
          <w:b/>
        </w:rPr>
        <w:t>practical-delivery track</w:t>
      </w:r>
      <w:r>
        <w:t xml:space="preserve"> attends to outcomes, actions, capacity, stakeholders, communication, resources, risks, dependencies, feedback and benefits. Neither automatically outranks the other. A missed action may </w:t>
      </w:r>
      <w:r>
        <w:lastRenderedPageBreak/>
        <w:t>reflect an over-large task, an unaddressed dependency, fear, shame, lack of skill, competing priorities, an unsafe relationship or a goal that no longer fits.</w:t>
      </w:r>
    </w:p>
    <w:p w14:paraId="1D5726BB" w14:textId="77777777" w:rsidR="000C6F5D" w:rsidRDefault="00000000">
      <w:pPr>
        <w:jc w:val="both"/>
      </w:pPr>
      <w:r>
        <w:t>Project disciplines can strengthen the second track when translated with care. Contemporary project guidance emphasises beneficial change, systems thinking, stakeholder engagement, tailoring and learning rather than the mechanical application of a single lifecycle (Association for Project Management, 2025). PRINCE2 similarly treats tailoring, continued justification, defined roles, staged control and learning as central principles (PeopleCert, 2023). Within Happy Citta these ideas become plain-language questions: Is the change still worthwhile? What will be observably different? Who is affected? What assumptions and risks matter? What is the smallest useful experiment? What has been learned? The tools remain subordinate to autonomy, context and psychological safety.</w:t>
      </w:r>
    </w:p>
    <w:p w14:paraId="33758FF4" w14:textId="77777777" w:rsidR="000C6F5D" w:rsidRDefault="00000000">
      <w:pPr>
        <w:pStyle w:val="Heading2"/>
      </w:pPr>
      <w:r>
        <w:t>2.4 Relationship and responsiveness</w:t>
      </w:r>
    </w:p>
    <w:p w14:paraId="40204A13" w14:textId="507FD25A" w:rsidR="000C6F5D" w:rsidRDefault="00000000">
      <w:pPr>
        <w:jc w:val="both"/>
      </w:pPr>
      <w:r>
        <w:t>Human support is not merely a delivery channel. In psychotherapy, the alliance</w:t>
      </w:r>
      <w:r w:rsidR="008923F2">
        <w:t xml:space="preserve"> (</w:t>
      </w:r>
      <w:r>
        <w:t>agreement on goals and tasks alongside relational quality</w:t>
      </w:r>
      <w:r w:rsidR="008923F2">
        <w:t xml:space="preserve">) </w:t>
      </w:r>
      <w:r>
        <w:t>is reliably associated with outcome, although association does not prove that alliance alone causes change or that findings transfer unchanged to coaching and organisational work (Flückiger et al., 2018). Happy Citta therefore treats collaboration, feedback and repair as cross-cutting practices. The practitioner should notice when a technique is not helping, invite correction and adapt rather than completing a predetermined sequence.</w:t>
      </w:r>
    </w:p>
    <w:p w14:paraId="31C68ADA" w14:textId="77777777" w:rsidR="000C6F5D" w:rsidRDefault="00000000">
      <w:pPr>
        <w:pStyle w:val="Heading1"/>
      </w:pPr>
      <w:r>
        <w:t>3. The five-stage Happy Citta Method</w:t>
      </w:r>
    </w:p>
    <w:p w14:paraId="28C99FC5" w14:textId="77777777" w:rsidR="000C6F5D" w:rsidRDefault="00000000">
      <w:pPr>
        <w:jc w:val="both"/>
      </w:pPr>
      <w:r>
        <w:t xml:space="preserve">The public framework is </w:t>
      </w:r>
      <w:r>
        <w:rPr>
          <w:b/>
        </w:rPr>
        <w:t>Understand → Clarify → Design → Change → Sustain</w:t>
      </w:r>
      <w:r>
        <w:t>. Each stage has a primary question and minimum output, but the boundaries are permeable. Safety, suitability, relationship, context and evidence review continue throughout.</w:t>
      </w:r>
    </w:p>
    <w:p w14:paraId="5A03027C" w14:textId="77777777" w:rsidR="000C6F5D" w:rsidRDefault="00000000">
      <w:pPr>
        <w:pStyle w:val="Heading2"/>
      </w:pPr>
      <w:r>
        <w:t>3.1 Understand: what is happening, for whom and in what context?</w:t>
      </w:r>
    </w:p>
    <w:p w14:paraId="4083388C" w14:textId="77777777" w:rsidR="000C6F5D" w:rsidRDefault="00000000">
      <w:pPr>
        <w:jc w:val="both"/>
      </w:pPr>
      <w:r>
        <w:t>Understand develops a shared picture before solutions are proposed. Exploration may include the current situation, emotional experience, beliefs, behavioural patterns, identity, relationships, previous attempts, strengths, demands and available support. The practical track maps constraints, dependencies, resources and people affected by the change. The minimum output is a concise formulation of the change challenge, its context and the appropriate delivery pathway.</w:t>
      </w:r>
    </w:p>
    <w:p w14:paraId="051D231D" w14:textId="77777777" w:rsidR="000C6F5D" w:rsidRDefault="00000000">
      <w:pPr>
        <w:jc w:val="both"/>
      </w:pPr>
      <w:r>
        <w:t>Tools are selected by function. A cognitive-behavioural formulation can map links among situations, thoughts, emotions and behaviour; CBT has a substantial evidence base across psychological conditions, though the evidence concerns defined interventions rather than isolated tools or Happy Citta’s integration (Butler et al., 2006). Compassion-focused practices may be useful where shame, threat or self-criticism obstruct exploration; systematic review evidence is promising but remains limited by the quality and size of the underlying literature (Kirby, Tellegen and Steindl, 2017). Narrative questions may help separate identity from a problem and identify neglected accounts of competence or preference (White and Epston, 1990). NLP-informed questions may be used only as non-diagnostic prompts to explore language, triggers or predictions; they should not carry claims of clinical efficacy, given the weak empirical support for NLP as a therapeutic system (Witkowski, 2010).</w:t>
      </w:r>
    </w:p>
    <w:p w14:paraId="49D8B141" w14:textId="77777777" w:rsidR="000C6F5D" w:rsidRDefault="00000000">
      <w:pPr>
        <w:jc w:val="both"/>
      </w:pPr>
      <w:r>
        <w:t>Understanding is not diagnosis unless the work occurs within an explicitly contracted, appropriately qualified clinical pathway. The stage may end in continuation, further exploration, referral or pause.</w:t>
      </w:r>
    </w:p>
    <w:p w14:paraId="1914DA6A" w14:textId="77777777" w:rsidR="000C6F5D" w:rsidRDefault="00000000">
      <w:pPr>
        <w:pStyle w:val="Heading2"/>
      </w:pPr>
      <w:r>
        <w:t>3.2 Clarify: what meaningful change is wanted, and is it appropriate now?</w:t>
      </w:r>
    </w:p>
    <w:p w14:paraId="500BD924" w14:textId="77777777" w:rsidR="000C6F5D" w:rsidRDefault="00000000">
      <w:pPr>
        <w:jc w:val="both"/>
      </w:pPr>
      <w:r>
        <w:t>Clarify distinguishes a personally or collectively meaningful direction from a vague wish, external demand or internalised ‘should’. It examines values, preferred future, trade-offs, control, readiness and what progress would be observable without promising a fixed result. ACT-informed values clarification, meaning-</w:t>
      </w:r>
      <w:r>
        <w:lastRenderedPageBreak/>
        <w:t>oriented questions, narrative re-authoring and solution-focused exploration may help identify a direction, exceptions, strengths and existing resources. Reviews of solution-focused brief therapy indicate generally positive effects across settings, while variation in study quality and population again cautions against transferring results to the combined method (Kim, 2008).</w:t>
      </w:r>
    </w:p>
    <w:p w14:paraId="7196229A" w14:textId="77777777" w:rsidR="000C6F5D" w:rsidRDefault="00000000">
      <w:pPr>
        <w:jc w:val="both"/>
      </w:pPr>
      <w:r>
        <w:t>The stage ends with an owned change intention, an initial definition of progress and sufficient willingness to proceed. A decision gate asks whether the outcome remains meaningful, safe, sufficiently within influence and viable given resources and dependencies. Ambivalence does not automatically require persuasion; it may contain important information about cost, conflict or context.</w:t>
      </w:r>
    </w:p>
    <w:p w14:paraId="27BA56B2" w14:textId="77777777" w:rsidR="000C6F5D" w:rsidRDefault="00000000">
      <w:pPr>
        <w:pStyle w:val="Heading2"/>
      </w:pPr>
      <w:r>
        <w:t>3.3 Design: what is blocking change, and what response fits?</w:t>
      </w:r>
    </w:p>
    <w:p w14:paraId="329CC21B" w14:textId="77777777" w:rsidR="000C6F5D" w:rsidRDefault="00000000">
      <w:pPr>
        <w:jc w:val="both"/>
      </w:pPr>
      <w:r>
        <w:t>Design converts direction into a proportionate change strategy. COM-B questions identify whether progress depends primarily on capability, opportunity or motivation. The response may therefore involve learning a skill, reducing the size of an action, changing an environmental cue, negotiating support, addressing an emotional barrier, revising the outcome or seeking different professional help.</w:t>
      </w:r>
    </w:p>
    <w:p w14:paraId="42CF5EAC" w14:textId="77777777" w:rsidR="000C6F5D" w:rsidRDefault="00000000">
      <w:pPr>
        <w:jc w:val="both"/>
      </w:pPr>
      <w:r>
        <w:t>Practical tools may include outcome and benefit definitions, prioritisation, a small work breakdown, assumptions and dependencies, stakeholder and communication maps, risk-and-response planning, milestones, review points and tolerances. For individuals, these must remain light enough to clarify rather than burden. For organisations, greater structure may be appropriate because accountability, coordination and psychosocial risk are distributed across a system. If–then plans can be added for predictable situations once commitment and feasibility are established (Gollwitzer, 1999).</w:t>
      </w:r>
    </w:p>
    <w:p w14:paraId="286FD6A9" w14:textId="77777777" w:rsidR="000C6F5D" w:rsidRDefault="00000000">
      <w:pPr>
        <w:jc w:val="both"/>
      </w:pPr>
      <w:r>
        <w:t>The output is a tailored plan containing only the structure required for the present change. Planning must not be used to compensate for a harmful environment, inadequate clinical care or an outcome controlled principally by somebody else.</w:t>
      </w:r>
    </w:p>
    <w:p w14:paraId="658AD3A1" w14:textId="77777777" w:rsidR="000C6F5D" w:rsidRDefault="00000000">
      <w:pPr>
        <w:pStyle w:val="Heading2"/>
      </w:pPr>
      <w:r>
        <w:t>3.4 Change: how will action be attempted and adapted in real conditions?</w:t>
      </w:r>
    </w:p>
    <w:p w14:paraId="19E5B736" w14:textId="77777777" w:rsidR="000C6F5D" w:rsidRDefault="00000000">
      <w:pPr>
        <w:jc w:val="both"/>
      </w:pPr>
      <w:r>
        <w:t>Change begins with bounded actions that generate information as well as progress. These might be a behavioural experiment, conversation, environmental adjustment, practice period or short delivery increment. The practitioner and participant review what happened, what helped, what was avoided, what the environment permitted and whether the goal still fits. Difficult emotion can be met through proportionate compassion, acceptance, grounding or reflection; practical obstacles can trigger replanning, stakeholder engagement or resource changes.</w:t>
      </w:r>
    </w:p>
    <w:p w14:paraId="1CB23F6D" w14:textId="77777777" w:rsidR="000C6F5D" w:rsidRDefault="00000000">
      <w:pPr>
        <w:jc w:val="both"/>
      </w:pPr>
      <w:r>
        <w:t>Progress is therefore not synonymous with compliance. A missed step is data for diagnosis. The next response may be to continue, reduce, adapt, pause, return to Clarify or seek specialist support. Digital tools may offer agreed prompts, structured reflection and continuity between human contacts, but should not make autonomous safety judgements or high-impact decisions.</w:t>
      </w:r>
    </w:p>
    <w:p w14:paraId="7D3803E6" w14:textId="77777777" w:rsidR="000C6F5D" w:rsidRDefault="00000000">
      <w:pPr>
        <w:pStyle w:val="Heading2"/>
      </w:pPr>
      <w:r>
        <w:t>3.5 Sustain: what will help benefits endure or evolve?</w:t>
      </w:r>
    </w:p>
    <w:p w14:paraId="68FA7D72" w14:textId="77777777" w:rsidR="000C6F5D" w:rsidRDefault="00000000">
      <w:pPr>
        <w:jc w:val="both"/>
      </w:pPr>
      <w:r>
        <w:t>Sustain reviews what changed, what did not and what mechanisms appear to have mattered. It identifies cues, habits, relationships, resources and organisational conditions that support continuation; anticipates setbacks; agrees how learning will be used; and transfers ownership beyond structured support. Project concepts such as benefits review, lessons learned, handover and closure can make endings explicit. Psychologically informed relapse or setback planning can prevent a lapse from being interpreted as personal failure.</w:t>
      </w:r>
    </w:p>
    <w:p w14:paraId="6CAB7805" w14:textId="77777777" w:rsidR="000C6F5D" w:rsidRDefault="00000000">
      <w:pPr>
        <w:jc w:val="both"/>
      </w:pPr>
      <w:r>
        <w:t>The output is a maintenance and adaptation plan and an agreed ending or review point. Sustainability does not mean preserving the original plan at all costs. A responsible outcome may be a revised aim, reduced support, referral, pause or closure.</w:t>
      </w:r>
    </w:p>
    <w:p w14:paraId="4CE28419" w14:textId="06386730" w:rsidR="004F60B4" w:rsidRDefault="008778C9">
      <w:pPr>
        <w:jc w:val="both"/>
      </w:pPr>
      <w:r>
        <w:rPr>
          <w:noProof/>
        </w:rPr>
        <w:lastRenderedPageBreak/>
        <w:drawing>
          <wp:inline distT="0" distB="0" distL="0" distR="0" wp14:anchorId="3CDB413A" wp14:editId="1D19A034">
            <wp:extent cx="6060440" cy="8568690"/>
            <wp:effectExtent l="0" t="0" r="0" b="3810"/>
            <wp:docPr id="6363213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21374"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060440" cy="8568690"/>
                    </a:xfrm>
                    <a:prstGeom prst="rect">
                      <a:avLst/>
                    </a:prstGeom>
                  </pic:spPr>
                </pic:pic>
              </a:graphicData>
            </a:graphic>
          </wp:inline>
        </w:drawing>
      </w:r>
    </w:p>
    <w:p w14:paraId="09285074" w14:textId="77777777" w:rsidR="000C6F5D" w:rsidRDefault="00000000">
      <w:pPr>
        <w:pStyle w:val="Heading1"/>
      </w:pPr>
      <w:r>
        <w:lastRenderedPageBreak/>
        <w:t>4. Evidence and theoretical foundations</w:t>
      </w:r>
    </w:p>
    <w:p w14:paraId="6AA336B3" w14:textId="77777777" w:rsidR="000C6F5D" w:rsidRDefault="00000000">
      <w:pPr>
        <w:jc w:val="both"/>
      </w:pPr>
      <w:r>
        <w:t>The method is best understood as an integrative programme theory rather than a new therapy. Its constituent approaches contribute different functions and carry different evidential weight.</w:t>
      </w:r>
    </w:p>
    <w:tbl>
      <w:tblPr>
        <w:tblStyle w:val="TableGrid"/>
        <w:tblW w:w="0" w:type="auto"/>
        <w:jc w:val="center"/>
        <w:tblLook w:val="04A0" w:firstRow="1" w:lastRow="0" w:firstColumn="1" w:lastColumn="0" w:noHBand="0" w:noVBand="1"/>
      </w:tblPr>
      <w:tblGrid>
        <w:gridCol w:w="3178"/>
        <w:gridCol w:w="3178"/>
        <w:gridCol w:w="3178"/>
      </w:tblGrid>
      <w:tr w:rsidR="000C6F5D" w14:paraId="0DA866D3" w14:textId="77777777">
        <w:trPr>
          <w:tblHeader/>
          <w:jc w:val="center"/>
        </w:trPr>
        <w:tc>
          <w:tcPr>
            <w:tcW w:w="3181" w:type="dxa"/>
            <w:shd w:val="clear" w:color="auto" w:fill="2F6F68"/>
            <w:vAlign w:val="center"/>
          </w:tcPr>
          <w:p w14:paraId="12765296" w14:textId="77777777" w:rsidR="000C6F5D" w:rsidRDefault="00000000">
            <w:pPr>
              <w:spacing w:after="40"/>
            </w:pPr>
            <w:r>
              <w:rPr>
                <w:b/>
                <w:color w:val="FFFFFF"/>
                <w:sz w:val="17"/>
              </w:rPr>
              <w:t>Foundation</w:t>
            </w:r>
          </w:p>
        </w:tc>
        <w:tc>
          <w:tcPr>
            <w:tcW w:w="3181" w:type="dxa"/>
            <w:shd w:val="clear" w:color="auto" w:fill="2F6F68"/>
            <w:vAlign w:val="center"/>
          </w:tcPr>
          <w:p w14:paraId="604B0B00" w14:textId="77777777" w:rsidR="000C6F5D" w:rsidRDefault="00000000">
            <w:pPr>
              <w:spacing w:after="40"/>
            </w:pPr>
            <w:r>
              <w:rPr>
                <w:b/>
                <w:color w:val="FFFFFF"/>
                <w:sz w:val="17"/>
              </w:rPr>
              <w:t>Function within the method</w:t>
            </w:r>
          </w:p>
        </w:tc>
        <w:tc>
          <w:tcPr>
            <w:tcW w:w="3181" w:type="dxa"/>
            <w:shd w:val="clear" w:color="auto" w:fill="2F6F68"/>
            <w:vAlign w:val="center"/>
          </w:tcPr>
          <w:p w14:paraId="39F1D5EB" w14:textId="77777777" w:rsidR="000C6F5D" w:rsidRDefault="00000000">
            <w:pPr>
              <w:spacing w:after="40"/>
            </w:pPr>
            <w:r>
              <w:rPr>
                <w:b/>
                <w:color w:val="FFFFFF"/>
                <w:sz w:val="17"/>
              </w:rPr>
              <w:t>Evidence claim and limitation</w:t>
            </w:r>
          </w:p>
        </w:tc>
      </w:tr>
      <w:tr w:rsidR="000C6F5D" w14:paraId="0F0D66B3" w14:textId="77777777">
        <w:trPr>
          <w:jc w:val="center"/>
        </w:trPr>
        <w:tc>
          <w:tcPr>
            <w:tcW w:w="3181" w:type="dxa"/>
            <w:vAlign w:val="center"/>
          </w:tcPr>
          <w:p w14:paraId="107D66F3" w14:textId="77777777" w:rsidR="000C6F5D" w:rsidRDefault="00000000">
            <w:pPr>
              <w:spacing w:after="40"/>
            </w:pPr>
            <w:r>
              <w:rPr>
                <w:sz w:val="17"/>
              </w:rPr>
              <w:t>Complex-intervention guidance</w:t>
            </w:r>
          </w:p>
        </w:tc>
        <w:tc>
          <w:tcPr>
            <w:tcW w:w="3181" w:type="dxa"/>
            <w:vAlign w:val="center"/>
          </w:tcPr>
          <w:p w14:paraId="35E337E4" w14:textId="77777777" w:rsidR="000C6F5D" w:rsidRDefault="00000000">
            <w:pPr>
              <w:spacing w:after="40"/>
            </w:pPr>
            <w:r>
              <w:rPr>
                <w:sz w:val="17"/>
              </w:rPr>
              <w:t>Iterative development, context, stakeholder involvement and uncertainty</w:t>
            </w:r>
          </w:p>
        </w:tc>
        <w:tc>
          <w:tcPr>
            <w:tcW w:w="3181" w:type="dxa"/>
            <w:vAlign w:val="center"/>
          </w:tcPr>
          <w:p w14:paraId="68E407D5" w14:textId="77777777" w:rsidR="000C6F5D" w:rsidRDefault="00000000">
            <w:pPr>
              <w:spacing w:after="40"/>
            </w:pPr>
            <w:r>
              <w:rPr>
                <w:sz w:val="17"/>
              </w:rPr>
              <w:t>Supports how the method should be developed and evaluated; does not demonstrate effectiveness (Skivington et al., 2021).</w:t>
            </w:r>
          </w:p>
        </w:tc>
      </w:tr>
      <w:tr w:rsidR="000C6F5D" w14:paraId="6CF5B71D" w14:textId="77777777">
        <w:trPr>
          <w:jc w:val="center"/>
        </w:trPr>
        <w:tc>
          <w:tcPr>
            <w:tcW w:w="3181" w:type="dxa"/>
            <w:shd w:val="clear" w:color="auto" w:fill="F7F3EB"/>
            <w:vAlign w:val="center"/>
          </w:tcPr>
          <w:p w14:paraId="10299F39" w14:textId="77777777" w:rsidR="000C6F5D" w:rsidRDefault="00000000">
            <w:pPr>
              <w:spacing w:after="40"/>
            </w:pPr>
            <w:r>
              <w:rPr>
                <w:sz w:val="17"/>
              </w:rPr>
              <w:t>COM-B</w:t>
            </w:r>
          </w:p>
        </w:tc>
        <w:tc>
          <w:tcPr>
            <w:tcW w:w="3181" w:type="dxa"/>
            <w:shd w:val="clear" w:color="auto" w:fill="F7F3EB"/>
            <w:vAlign w:val="center"/>
          </w:tcPr>
          <w:p w14:paraId="27CDF80B" w14:textId="77777777" w:rsidR="000C6F5D" w:rsidRDefault="00000000">
            <w:pPr>
              <w:spacing w:after="40"/>
            </w:pPr>
            <w:r>
              <w:rPr>
                <w:sz w:val="17"/>
              </w:rPr>
              <w:t>Diagnoses capability, opportunity and motivation barriers</w:t>
            </w:r>
          </w:p>
        </w:tc>
        <w:tc>
          <w:tcPr>
            <w:tcW w:w="3181" w:type="dxa"/>
            <w:shd w:val="clear" w:color="auto" w:fill="F7F3EB"/>
            <w:vAlign w:val="center"/>
          </w:tcPr>
          <w:p w14:paraId="23B18987" w14:textId="77777777" w:rsidR="000C6F5D" w:rsidRDefault="00000000">
            <w:pPr>
              <w:spacing w:after="40"/>
            </w:pPr>
            <w:r>
              <w:rPr>
                <w:sz w:val="17"/>
              </w:rPr>
              <w:t>Widely used design framework; does not validate any selected intervention or the integrated pathway (Michie, van Stralen and West, 2011).</w:t>
            </w:r>
          </w:p>
        </w:tc>
      </w:tr>
      <w:tr w:rsidR="000C6F5D" w14:paraId="35FB96EC" w14:textId="77777777">
        <w:trPr>
          <w:jc w:val="center"/>
        </w:trPr>
        <w:tc>
          <w:tcPr>
            <w:tcW w:w="3181" w:type="dxa"/>
            <w:vAlign w:val="center"/>
          </w:tcPr>
          <w:p w14:paraId="297EC0C8" w14:textId="77777777" w:rsidR="000C6F5D" w:rsidRDefault="00000000">
            <w:pPr>
              <w:spacing w:after="40"/>
            </w:pPr>
            <w:r>
              <w:rPr>
                <w:sz w:val="17"/>
              </w:rPr>
              <w:t>CBT-informed formulation and experiments</w:t>
            </w:r>
          </w:p>
        </w:tc>
        <w:tc>
          <w:tcPr>
            <w:tcW w:w="3181" w:type="dxa"/>
            <w:vAlign w:val="center"/>
          </w:tcPr>
          <w:p w14:paraId="7EB68C33" w14:textId="77777777" w:rsidR="000C6F5D" w:rsidRDefault="00000000">
            <w:pPr>
              <w:spacing w:after="40"/>
            </w:pPr>
            <w:r>
              <w:rPr>
                <w:sz w:val="17"/>
              </w:rPr>
              <w:t>Maps maintaining cycles and tests predictions</w:t>
            </w:r>
          </w:p>
        </w:tc>
        <w:tc>
          <w:tcPr>
            <w:tcW w:w="3181" w:type="dxa"/>
            <w:vAlign w:val="center"/>
          </w:tcPr>
          <w:p w14:paraId="3C2D6EAC" w14:textId="77777777" w:rsidR="000C6F5D" w:rsidRDefault="00000000">
            <w:pPr>
              <w:spacing w:after="40"/>
            </w:pPr>
            <w:r>
              <w:rPr>
                <w:sz w:val="17"/>
              </w:rPr>
              <w:t>CBT has broad evidence across defined clinical applications; selected techniques and non-clinical transfer require separate evaluation (Butler et al., 2006).</w:t>
            </w:r>
          </w:p>
        </w:tc>
      </w:tr>
      <w:tr w:rsidR="000C6F5D" w14:paraId="5D1C2869" w14:textId="77777777">
        <w:trPr>
          <w:jc w:val="center"/>
        </w:trPr>
        <w:tc>
          <w:tcPr>
            <w:tcW w:w="3181" w:type="dxa"/>
            <w:shd w:val="clear" w:color="auto" w:fill="F7F3EB"/>
            <w:vAlign w:val="center"/>
          </w:tcPr>
          <w:p w14:paraId="0FD9BECB" w14:textId="77777777" w:rsidR="000C6F5D" w:rsidRDefault="00000000">
            <w:pPr>
              <w:spacing w:after="40"/>
            </w:pPr>
            <w:r>
              <w:rPr>
                <w:sz w:val="17"/>
              </w:rPr>
              <w:t>ACT, compassion and meaning-oriented work</w:t>
            </w:r>
          </w:p>
        </w:tc>
        <w:tc>
          <w:tcPr>
            <w:tcW w:w="3181" w:type="dxa"/>
            <w:shd w:val="clear" w:color="auto" w:fill="F7F3EB"/>
            <w:vAlign w:val="center"/>
          </w:tcPr>
          <w:p w14:paraId="2F792A2B" w14:textId="77777777" w:rsidR="000C6F5D" w:rsidRDefault="00000000">
            <w:pPr>
              <w:spacing w:after="40"/>
            </w:pPr>
            <w:r>
              <w:rPr>
                <w:sz w:val="17"/>
              </w:rPr>
              <w:t>Supports values, willingness, self-criticism and purpose</w:t>
            </w:r>
          </w:p>
        </w:tc>
        <w:tc>
          <w:tcPr>
            <w:tcW w:w="3181" w:type="dxa"/>
            <w:shd w:val="clear" w:color="auto" w:fill="F7F3EB"/>
            <w:vAlign w:val="center"/>
          </w:tcPr>
          <w:p w14:paraId="565384D8" w14:textId="77777777" w:rsidR="000C6F5D" w:rsidRDefault="00000000">
            <w:pPr>
              <w:spacing w:after="40"/>
            </w:pPr>
            <w:r>
              <w:rPr>
                <w:sz w:val="17"/>
              </w:rPr>
              <w:t>Relevant reviews are promising, but effects and study quality vary; Happy Citta-specific mechanisms remain hypotheses (A-Tjak et al., 2015; Kirby, Tellegen and Steindl, 2017; Vos, Craig and Cooper, 2015).</w:t>
            </w:r>
          </w:p>
        </w:tc>
      </w:tr>
      <w:tr w:rsidR="000C6F5D" w14:paraId="3ADC8502" w14:textId="77777777">
        <w:trPr>
          <w:jc w:val="center"/>
        </w:trPr>
        <w:tc>
          <w:tcPr>
            <w:tcW w:w="3181" w:type="dxa"/>
            <w:vAlign w:val="center"/>
          </w:tcPr>
          <w:p w14:paraId="1C472B19" w14:textId="77777777" w:rsidR="000C6F5D" w:rsidRDefault="00000000">
            <w:pPr>
              <w:spacing w:after="40"/>
            </w:pPr>
            <w:r>
              <w:rPr>
                <w:sz w:val="17"/>
              </w:rPr>
              <w:t>Narrative and solution-focused practice</w:t>
            </w:r>
          </w:p>
        </w:tc>
        <w:tc>
          <w:tcPr>
            <w:tcW w:w="3181" w:type="dxa"/>
            <w:vAlign w:val="center"/>
          </w:tcPr>
          <w:p w14:paraId="714D2796" w14:textId="77777777" w:rsidR="000C6F5D" w:rsidRDefault="00000000">
            <w:pPr>
              <w:spacing w:after="40"/>
            </w:pPr>
            <w:r>
              <w:rPr>
                <w:sz w:val="17"/>
              </w:rPr>
              <w:t>Develops preferred accounts, exceptions, resources and future direction</w:t>
            </w:r>
          </w:p>
        </w:tc>
        <w:tc>
          <w:tcPr>
            <w:tcW w:w="3181" w:type="dxa"/>
            <w:vAlign w:val="center"/>
          </w:tcPr>
          <w:p w14:paraId="37F4869A" w14:textId="77777777" w:rsidR="000C6F5D" w:rsidRDefault="00000000">
            <w:pPr>
              <w:spacing w:after="40"/>
            </w:pPr>
            <w:r>
              <w:rPr>
                <w:sz w:val="17"/>
              </w:rPr>
              <w:t>Conceptual and outcome literature supports their use in established settings, not this combined sequence (White and Epston, 1990; Kim, 2008).</w:t>
            </w:r>
          </w:p>
        </w:tc>
      </w:tr>
      <w:tr w:rsidR="000C6F5D" w14:paraId="47BD9C9F" w14:textId="77777777">
        <w:trPr>
          <w:jc w:val="center"/>
        </w:trPr>
        <w:tc>
          <w:tcPr>
            <w:tcW w:w="3181" w:type="dxa"/>
            <w:shd w:val="clear" w:color="auto" w:fill="F7F3EB"/>
            <w:vAlign w:val="center"/>
          </w:tcPr>
          <w:p w14:paraId="38E76702" w14:textId="77777777" w:rsidR="000C6F5D" w:rsidRDefault="00000000">
            <w:pPr>
              <w:spacing w:after="40"/>
            </w:pPr>
            <w:r>
              <w:rPr>
                <w:sz w:val="17"/>
              </w:rPr>
              <w:t>Implementation intentions</w:t>
            </w:r>
          </w:p>
        </w:tc>
        <w:tc>
          <w:tcPr>
            <w:tcW w:w="3181" w:type="dxa"/>
            <w:shd w:val="clear" w:color="auto" w:fill="F7F3EB"/>
            <w:vAlign w:val="center"/>
          </w:tcPr>
          <w:p w14:paraId="206783EE" w14:textId="77777777" w:rsidR="000C6F5D" w:rsidRDefault="00000000">
            <w:pPr>
              <w:spacing w:after="40"/>
            </w:pPr>
            <w:r>
              <w:rPr>
                <w:sz w:val="17"/>
              </w:rPr>
              <w:t>Links predictable cues to chosen action</w:t>
            </w:r>
          </w:p>
        </w:tc>
        <w:tc>
          <w:tcPr>
            <w:tcW w:w="3181" w:type="dxa"/>
            <w:shd w:val="clear" w:color="auto" w:fill="F7F3EB"/>
            <w:vAlign w:val="center"/>
          </w:tcPr>
          <w:p w14:paraId="3E3D10E3" w14:textId="77777777" w:rsidR="000C6F5D" w:rsidRDefault="00000000">
            <w:pPr>
              <w:spacing w:after="40"/>
            </w:pPr>
            <w:r>
              <w:rPr>
                <w:sz w:val="17"/>
              </w:rPr>
              <w:t>Meta-analytic evidence supports goal attainment, but only after meaningful and feasible goals exist (Gollwitzer and Sheeran, 2006).</w:t>
            </w:r>
          </w:p>
        </w:tc>
      </w:tr>
      <w:tr w:rsidR="000C6F5D" w14:paraId="27CA734C" w14:textId="77777777">
        <w:trPr>
          <w:jc w:val="center"/>
        </w:trPr>
        <w:tc>
          <w:tcPr>
            <w:tcW w:w="3181" w:type="dxa"/>
            <w:vAlign w:val="center"/>
          </w:tcPr>
          <w:p w14:paraId="502E5687" w14:textId="77777777" w:rsidR="000C6F5D" w:rsidRDefault="00000000">
            <w:pPr>
              <w:spacing w:after="40"/>
            </w:pPr>
            <w:r>
              <w:rPr>
                <w:sz w:val="17"/>
              </w:rPr>
              <w:t>Therapeutic alliance</w:t>
            </w:r>
          </w:p>
        </w:tc>
        <w:tc>
          <w:tcPr>
            <w:tcW w:w="3181" w:type="dxa"/>
            <w:vAlign w:val="center"/>
          </w:tcPr>
          <w:p w14:paraId="1CBA5FEC" w14:textId="77777777" w:rsidR="000C6F5D" w:rsidRDefault="00000000">
            <w:pPr>
              <w:spacing w:after="40"/>
            </w:pPr>
            <w:r>
              <w:rPr>
                <w:sz w:val="17"/>
              </w:rPr>
              <w:t>Supports collaborative goals, tasks, feedback and repair</w:t>
            </w:r>
          </w:p>
        </w:tc>
        <w:tc>
          <w:tcPr>
            <w:tcW w:w="3181" w:type="dxa"/>
            <w:vAlign w:val="center"/>
          </w:tcPr>
          <w:p w14:paraId="34FEA346" w14:textId="77777777" w:rsidR="000C6F5D" w:rsidRDefault="00000000">
            <w:pPr>
              <w:spacing w:after="40"/>
            </w:pPr>
            <w:r>
              <w:rPr>
                <w:sz w:val="17"/>
              </w:rPr>
              <w:t>Association with psychotherapy outcomes supports relational attention, not causality or automatic transfer to non-therapy services (Flückiger et al., 2018).</w:t>
            </w:r>
          </w:p>
        </w:tc>
      </w:tr>
      <w:tr w:rsidR="000C6F5D" w14:paraId="2CE15B31" w14:textId="77777777">
        <w:trPr>
          <w:jc w:val="center"/>
        </w:trPr>
        <w:tc>
          <w:tcPr>
            <w:tcW w:w="3181" w:type="dxa"/>
            <w:shd w:val="clear" w:color="auto" w:fill="F7F3EB"/>
            <w:vAlign w:val="center"/>
          </w:tcPr>
          <w:p w14:paraId="1CB5ED4C" w14:textId="77777777" w:rsidR="000C6F5D" w:rsidRDefault="00000000">
            <w:pPr>
              <w:spacing w:after="40"/>
            </w:pPr>
            <w:r>
              <w:rPr>
                <w:sz w:val="17"/>
              </w:rPr>
              <w:t>Project and change delivery</w:t>
            </w:r>
          </w:p>
        </w:tc>
        <w:tc>
          <w:tcPr>
            <w:tcW w:w="3181" w:type="dxa"/>
            <w:shd w:val="clear" w:color="auto" w:fill="F7F3EB"/>
            <w:vAlign w:val="center"/>
          </w:tcPr>
          <w:p w14:paraId="0A5D496A" w14:textId="77777777" w:rsidR="000C6F5D" w:rsidRDefault="00000000">
            <w:pPr>
              <w:spacing w:after="40"/>
            </w:pPr>
            <w:r>
              <w:rPr>
                <w:sz w:val="17"/>
              </w:rPr>
              <w:t>Structures outcomes, risks, stakeholders, delivery, benefits and learning</w:t>
            </w:r>
          </w:p>
        </w:tc>
        <w:tc>
          <w:tcPr>
            <w:tcW w:w="3181" w:type="dxa"/>
            <w:shd w:val="clear" w:color="auto" w:fill="F7F3EB"/>
            <w:vAlign w:val="center"/>
          </w:tcPr>
          <w:p w14:paraId="37D621F4" w14:textId="77777777" w:rsidR="000C6F5D" w:rsidRDefault="00000000">
            <w:pPr>
              <w:spacing w:after="40"/>
            </w:pPr>
            <w:r>
              <w:rPr>
                <w:sz w:val="17"/>
              </w:rPr>
              <w:t>Professional bodies support these practices in projects; personal adaptation is a Happy Citta design choice (Association for Project Management, 2025; PeopleCert, 2023).</w:t>
            </w:r>
          </w:p>
        </w:tc>
      </w:tr>
    </w:tbl>
    <w:p w14:paraId="5C744090" w14:textId="77777777" w:rsidR="000C6F5D" w:rsidRDefault="000C6F5D">
      <w:pPr>
        <w:spacing w:after="0"/>
      </w:pPr>
    </w:p>
    <w:p w14:paraId="72DDC560" w14:textId="77777777" w:rsidR="000C6F5D" w:rsidRDefault="00000000">
      <w:pPr>
        <w:jc w:val="both"/>
      </w:pPr>
      <w:r>
        <w:t>This distinction prevents a common evidential error: demonstrating that several ingredients are individually credible does not prove that their combination is effective. Integration may create synergy, but it can also add burden, dilute techniques, create incompatible assumptions or make causal mechanisms difficult to identify. The Happy Citta Method itself currently has theoretical and practice-based justification, not outcome evidence.</w:t>
      </w:r>
    </w:p>
    <w:p w14:paraId="40E9F7C0" w14:textId="77777777" w:rsidR="000C6F5D" w:rsidRDefault="00000000">
      <w:pPr>
        <w:pStyle w:val="Heading1"/>
      </w:pPr>
      <w:r>
        <w:t>5. Iteration, gates and technique selection</w:t>
      </w:r>
    </w:p>
    <w:p w14:paraId="6708E286" w14:textId="77777777" w:rsidR="003B18D3" w:rsidRDefault="00000000">
      <w:pPr>
        <w:jc w:val="both"/>
      </w:pPr>
      <w:r>
        <w:t xml:space="preserve">The five stages are a map, not a staircase. Review may reveal that the original formulation was incomplete, the desired outcome was externally imposed, an action exceeded current capacity or an organisational condition made it unrealistic. Work can therefore move backwards or pause. Seven recurring questions guide review: </w:t>
      </w:r>
    </w:p>
    <w:p w14:paraId="6C7265A8" w14:textId="77777777" w:rsidR="003B18D3" w:rsidRDefault="00000000" w:rsidP="003B18D3">
      <w:pPr>
        <w:pStyle w:val="ListParagraph"/>
        <w:numPr>
          <w:ilvl w:val="0"/>
          <w:numId w:val="10"/>
        </w:numPr>
        <w:jc w:val="both"/>
      </w:pPr>
      <w:r>
        <w:lastRenderedPageBreak/>
        <w:t xml:space="preserve">Does the change still matter? </w:t>
      </w:r>
    </w:p>
    <w:p w14:paraId="1854F1ED" w14:textId="77777777" w:rsidR="003B18D3" w:rsidRDefault="00000000" w:rsidP="003B18D3">
      <w:pPr>
        <w:pStyle w:val="ListParagraph"/>
        <w:numPr>
          <w:ilvl w:val="0"/>
          <w:numId w:val="10"/>
        </w:numPr>
        <w:jc w:val="both"/>
      </w:pPr>
      <w:r>
        <w:t xml:space="preserve">Is it safe and appropriate? </w:t>
      </w:r>
    </w:p>
    <w:p w14:paraId="44608236" w14:textId="77777777" w:rsidR="003B18D3" w:rsidRDefault="00000000" w:rsidP="003B18D3">
      <w:pPr>
        <w:pStyle w:val="ListParagraph"/>
        <w:numPr>
          <w:ilvl w:val="0"/>
          <w:numId w:val="10"/>
        </w:numPr>
        <w:jc w:val="both"/>
      </w:pPr>
      <w:r>
        <w:t xml:space="preserve">Is the barrier capability, opportunity or motivation? </w:t>
      </w:r>
    </w:p>
    <w:p w14:paraId="7B0C3B80" w14:textId="77777777" w:rsidR="003B18D3" w:rsidRDefault="00000000" w:rsidP="003B18D3">
      <w:pPr>
        <w:pStyle w:val="ListParagraph"/>
        <w:numPr>
          <w:ilvl w:val="0"/>
          <w:numId w:val="10"/>
        </w:numPr>
        <w:jc w:val="both"/>
      </w:pPr>
      <w:r>
        <w:t xml:space="preserve">Is the next need psychological exploration, skill, environmental change, engagement or planning? </w:t>
      </w:r>
    </w:p>
    <w:p w14:paraId="6562D94F" w14:textId="77777777" w:rsidR="003B18D3" w:rsidRDefault="00000000" w:rsidP="003B18D3">
      <w:pPr>
        <w:pStyle w:val="ListParagraph"/>
        <w:numPr>
          <w:ilvl w:val="0"/>
          <w:numId w:val="10"/>
        </w:numPr>
        <w:jc w:val="both"/>
      </w:pPr>
      <w:r>
        <w:t xml:space="preserve">What is the smallest meaningful step? </w:t>
      </w:r>
    </w:p>
    <w:p w14:paraId="1BB9D1E6" w14:textId="77777777" w:rsidR="003B18D3" w:rsidRDefault="00000000" w:rsidP="003B18D3">
      <w:pPr>
        <w:pStyle w:val="ListParagraph"/>
        <w:numPr>
          <w:ilvl w:val="0"/>
          <w:numId w:val="10"/>
        </w:numPr>
        <w:jc w:val="both"/>
      </w:pPr>
      <w:r>
        <w:t xml:space="preserve">What has the result revealed? </w:t>
      </w:r>
    </w:p>
    <w:p w14:paraId="6AD24E99" w14:textId="1C379773" w:rsidR="000C6F5D" w:rsidRDefault="00000000" w:rsidP="003B18D3">
      <w:pPr>
        <w:pStyle w:val="ListParagraph"/>
        <w:numPr>
          <w:ilvl w:val="0"/>
          <w:numId w:val="10"/>
        </w:numPr>
        <w:jc w:val="both"/>
      </w:pPr>
      <w:r>
        <w:t>Should the work continue, adapt, pause, conclude or refer?</w:t>
      </w:r>
    </w:p>
    <w:p w14:paraId="211E3939" w14:textId="77777777" w:rsidR="000C6F5D" w:rsidRDefault="00000000">
      <w:pPr>
        <w:jc w:val="both"/>
      </w:pPr>
      <w:r>
        <w:t>Techniques are selected according to current function rather than diagnosis, novelty or practitioner preference. One primary direction should normally be used at a time; containment precedes challenge; meaning and ownership precede implementation planning; and each intervention should produce an output that informs the next decision. Standardisation concerns the function and safeguards of each stage, while pace, language, exercises and delivery can be adapted. This ‘standardise function, flex form’ principle should itself be tested: excessive flexibility may reduce fidelity, while excessive standardisation may reduce accessibility and responsiveness.</w:t>
      </w:r>
    </w:p>
    <w:p w14:paraId="1F85FA14" w14:textId="77777777" w:rsidR="000C6F5D" w:rsidRDefault="00000000">
      <w:pPr>
        <w:pStyle w:val="Heading1"/>
      </w:pPr>
      <w:r>
        <w:t>6. Individual and organisational applications</w:t>
      </w:r>
    </w:p>
    <w:p w14:paraId="71D797D8" w14:textId="77777777" w:rsidR="000C6F5D" w:rsidRDefault="00000000">
      <w:pPr>
        <w:jc w:val="both"/>
      </w:pPr>
      <w:r>
        <w:t>One architecture can support different levels of change, but it should not imply identical delivery. For an individual, Understand may explore a recurring pattern and its context; Clarify identifies a chosen direction; Design combines COM-B with manageable actions; Change uses experiments and feedback; and Sustain embeds supports and setback responses. Outcomes might include clarity, perceived capability, action initiation, adaptation and reduced overwhelm. In a non-therapeutic pathway, symptom change should not be the principal claim or outcome.</w:t>
      </w:r>
    </w:p>
    <w:p w14:paraId="76E93DB7" w14:textId="77777777" w:rsidR="000C6F5D" w:rsidRDefault="00000000">
      <w:pPr>
        <w:jc w:val="both"/>
      </w:pPr>
      <w:r>
        <w:t>In organisations, the same questions operate at several levels. Understand examines work design, workload, decision rights, relationships, culture, data and affected groups rather than locating the problem solely within employees. Clarify aligns intended benefits, trade-offs and ownership. Design addresses capability, opportunity and motivation across roles and systems, supported by stakeholder engagement, communications, risks and governance. Change uses staged implementation, participation and feedback. Sustain reviews benefits, unintended effects, operating ownership and lessons.</w:t>
      </w:r>
    </w:p>
    <w:p w14:paraId="6CF1863F" w14:textId="77777777" w:rsidR="000C6F5D" w:rsidRDefault="00000000">
      <w:pPr>
        <w:jc w:val="both"/>
      </w:pPr>
      <w:r>
        <w:t>The translation is summarised below.</w:t>
      </w:r>
    </w:p>
    <w:tbl>
      <w:tblPr>
        <w:tblStyle w:val="TableGrid"/>
        <w:tblW w:w="0" w:type="auto"/>
        <w:jc w:val="center"/>
        <w:tblLook w:val="04A0" w:firstRow="1" w:lastRow="0" w:firstColumn="1" w:lastColumn="0" w:noHBand="0" w:noVBand="1"/>
      </w:tblPr>
      <w:tblGrid>
        <w:gridCol w:w="3178"/>
        <w:gridCol w:w="3178"/>
        <w:gridCol w:w="3178"/>
      </w:tblGrid>
      <w:tr w:rsidR="000C6F5D" w14:paraId="564E57A6" w14:textId="77777777">
        <w:trPr>
          <w:tblHeader/>
          <w:jc w:val="center"/>
        </w:trPr>
        <w:tc>
          <w:tcPr>
            <w:tcW w:w="3181" w:type="dxa"/>
            <w:shd w:val="clear" w:color="auto" w:fill="2F6F68"/>
            <w:vAlign w:val="center"/>
          </w:tcPr>
          <w:p w14:paraId="08B806F7" w14:textId="77777777" w:rsidR="000C6F5D" w:rsidRDefault="00000000">
            <w:pPr>
              <w:spacing w:after="40"/>
            </w:pPr>
            <w:r>
              <w:rPr>
                <w:b/>
                <w:color w:val="FFFFFF"/>
                <w:sz w:val="17"/>
              </w:rPr>
              <w:t>Method function</w:t>
            </w:r>
          </w:p>
        </w:tc>
        <w:tc>
          <w:tcPr>
            <w:tcW w:w="3181" w:type="dxa"/>
            <w:shd w:val="clear" w:color="auto" w:fill="2F6F68"/>
            <w:vAlign w:val="center"/>
          </w:tcPr>
          <w:p w14:paraId="16EFF0BF" w14:textId="77777777" w:rsidR="000C6F5D" w:rsidRDefault="00000000">
            <w:pPr>
              <w:spacing w:after="40"/>
            </w:pPr>
            <w:r>
              <w:rPr>
                <w:b/>
                <w:color w:val="FFFFFF"/>
                <w:sz w:val="17"/>
              </w:rPr>
              <w:t>Individual application</w:t>
            </w:r>
          </w:p>
        </w:tc>
        <w:tc>
          <w:tcPr>
            <w:tcW w:w="3181" w:type="dxa"/>
            <w:shd w:val="clear" w:color="auto" w:fill="2F6F68"/>
            <w:vAlign w:val="center"/>
          </w:tcPr>
          <w:p w14:paraId="0DF3A003" w14:textId="77777777" w:rsidR="000C6F5D" w:rsidRDefault="00000000">
            <w:pPr>
              <w:spacing w:after="40"/>
            </w:pPr>
            <w:r>
              <w:rPr>
                <w:b/>
                <w:color w:val="FFFFFF"/>
                <w:sz w:val="17"/>
              </w:rPr>
              <w:t>Organisational application</w:t>
            </w:r>
          </w:p>
        </w:tc>
      </w:tr>
      <w:tr w:rsidR="000C6F5D" w14:paraId="2E801236" w14:textId="77777777">
        <w:trPr>
          <w:jc w:val="center"/>
        </w:trPr>
        <w:tc>
          <w:tcPr>
            <w:tcW w:w="3181" w:type="dxa"/>
            <w:vAlign w:val="center"/>
          </w:tcPr>
          <w:p w14:paraId="16855CDD" w14:textId="77777777" w:rsidR="000C6F5D" w:rsidRDefault="00000000">
            <w:pPr>
              <w:spacing w:after="40"/>
            </w:pPr>
            <w:r>
              <w:rPr>
                <w:sz w:val="17"/>
              </w:rPr>
              <w:t>Understand</w:t>
            </w:r>
          </w:p>
        </w:tc>
        <w:tc>
          <w:tcPr>
            <w:tcW w:w="3181" w:type="dxa"/>
            <w:vAlign w:val="center"/>
          </w:tcPr>
          <w:p w14:paraId="154850CC" w14:textId="77777777" w:rsidR="000C6F5D" w:rsidRDefault="00000000">
            <w:pPr>
              <w:spacing w:after="40"/>
            </w:pPr>
            <w:r>
              <w:rPr>
                <w:sz w:val="17"/>
              </w:rPr>
              <w:t>Experience, patterns, resources, relationships and safety</w:t>
            </w:r>
          </w:p>
        </w:tc>
        <w:tc>
          <w:tcPr>
            <w:tcW w:w="3181" w:type="dxa"/>
            <w:vAlign w:val="center"/>
          </w:tcPr>
          <w:p w14:paraId="125052AB" w14:textId="77777777" w:rsidR="000C6F5D" w:rsidRDefault="00000000">
            <w:pPr>
              <w:spacing w:after="40"/>
            </w:pPr>
            <w:r>
              <w:rPr>
                <w:sz w:val="17"/>
              </w:rPr>
              <w:t>Work demands, systems, roles, culture, psychosocial hazards and evidence</w:t>
            </w:r>
          </w:p>
        </w:tc>
      </w:tr>
      <w:tr w:rsidR="000C6F5D" w14:paraId="0AF53E85" w14:textId="77777777">
        <w:trPr>
          <w:jc w:val="center"/>
        </w:trPr>
        <w:tc>
          <w:tcPr>
            <w:tcW w:w="3181" w:type="dxa"/>
            <w:shd w:val="clear" w:color="auto" w:fill="F7F3EB"/>
            <w:vAlign w:val="center"/>
          </w:tcPr>
          <w:p w14:paraId="02475BEA" w14:textId="77777777" w:rsidR="000C6F5D" w:rsidRDefault="00000000">
            <w:pPr>
              <w:spacing w:after="40"/>
            </w:pPr>
            <w:r>
              <w:rPr>
                <w:sz w:val="17"/>
              </w:rPr>
              <w:t>Clarify</w:t>
            </w:r>
          </w:p>
        </w:tc>
        <w:tc>
          <w:tcPr>
            <w:tcW w:w="3181" w:type="dxa"/>
            <w:shd w:val="clear" w:color="auto" w:fill="F7F3EB"/>
            <w:vAlign w:val="center"/>
          </w:tcPr>
          <w:p w14:paraId="069DDFA0" w14:textId="77777777" w:rsidR="000C6F5D" w:rsidRDefault="00000000">
            <w:pPr>
              <w:spacing w:after="40"/>
            </w:pPr>
            <w:r>
              <w:rPr>
                <w:sz w:val="17"/>
              </w:rPr>
              <w:t>Values, agency, desired change and personal trade-offs</w:t>
            </w:r>
          </w:p>
        </w:tc>
        <w:tc>
          <w:tcPr>
            <w:tcW w:w="3181" w:type="dxa"/>
            <w:shd w:val="clear" w:color="auto" w:fill="F7F3EB"/>
            <w:vAlign w:val="center"/>
          </w:tcPr>
          <w:p w14:paraId="7198B8C4" w14:textId="77777777" w:rsidR="000C6F5D" w:rsidRDefault="00000000">
            <w:pPr>
              <w:spacing w:after="40"/>
            </w:pPr>
            <w:r>
              <w:rPr>
                <w:sz w:val="17"/>
              </w:rPr>
              <w:t>Shared outcomes, strategic fit, benefits, disbenefits and decision authority</w:t>
            </w:r>
          </w:p>
        </w:tc>
      </w:tr>
      <w:tr w:rsidR="000C6F5D" w14:paraId="470EF5CF" w14:textId="77777777">
        <w:trPr>
          <w:jc w:val="center"/>
        </w:trPr>
        <w:tc>
          <w:tcPr>
            <w:tcW w:w="3181" w:type="dxa"/>
            <w:vAlign w:val="center"/>
          </w:tcPr>
          <w:p w14:paraId="7D6C1A4D" w14:textId="77777777" w:rsidR="000C6F5D" w:rsidRDefault="00000000">
            <w:pPr>
              <w:spacing w:after="40"/>
            </w:pPr>
            <w:r>
              <w:rPr>
                <w:sz w:val="17"/>
              </w:rPr>
              <w:t>Design</w:t>
            </w:r>
          </w:p>
        </w:tc>
        <w:tc>
          <w:tcPr>
            <w:tcW w:w="3181" w:type="dxa"/>
            <w:vAlign w:val="center"/>
          </w:tcPr>
          <w:p w14:paraId="3739FFB3" w14:textId="77777777" w:rsidR="000C6F5D" w:rsidRDefault="00000000">
            <w:pPr>
              <w:spacing w:after="40"/>
            </w:pPr>
            <w:r>
              <w:rPr>
                <w:sz w:val="17"/>
              </w:rPr>
              <w:t>COM-B diagnosis, support, small actions and contingencies</w:t>
            </w:r>
          </w:p>
        </w:tc>
        <w:tc>
          <w:tcPr>
            <w:tcW w:w="3181" w:type="dxa"/>
            <w:vAlign w:val="center"/>
          </w:tcPr>
          <w:p w14:paraId="47133617" w14:textId="77777777" w:rsidR="000C6F5D" w:rsidRDefault="00000000">
            <w:pPr>
              <w:spacing w:after="40"/>
            </w:pPr>
            <w:r>
              <w:rPr>
                <w:sz w:val="17"/>
              </w:rPr>
              <w:t>Multi-level COM-B diagnosis, job/process design, capability, stakeholders, risk and governance</w:t>
            </w:r>
          </w:p>
        </w:tc>
      </w:tr>
      <w:tr w:rsidR="000C6F5D" w14:paraId="365E05B7" w14:textId="77777777">
        <w:trPr>
          <w:jc w:val="center"/>
        </w:trPr>
        <w:tc>
          <w:tcPr>
            <w:tcW w:w="3181" w:type="dxa"/>
            <w:shd w:val="clear" w:color="auto" w:fill="F7F3EB"/>
            <w:vAlign w:val="center"/>
          </w:tcPr>
          <w:p w14:paraId="23F8DDCB" w14:textId="77777777" w:rsidR="000C6F5D" w:rsidRDefault="00000000">
            <w:pPr>
              <w:spacing w:after="40"/>
            </w:pPr>
            <w:r>
              <w:rPr>
                <w:sz w:val="17"/>
              </w:rPr>
              <w:t>Change</w:t>
            </w:r>
          </w:p>
        </w:tc>
        <w:tc>
          <w:tcPr>
            <w:tcW w:w="3181" w:type="dxa"/>
            <w:shd w:val="clear" w:color="auto" w:fill="F7F3EB"/>
            <w:vAlign w:val="center"/>
          </w:tcPr>
          <w:p w14:paraId="1D617530" w14:textId="77777777" w:rsidR="000C6F5D" w:rsidRDefault="00000000">
            <w:pPr>
              <w:spacing w:after="40"/>
            </w:pPr>
            <w:r>
              <w:rPr>
                <w:sz w:val="17"/>
              </w:rPr>
              <w:t>Behavioural experiments, feedback and adapted steps</w:t>
            </w:r>
          </w:p>
        </w:tc>
        <w:tc>
          <w:tcPr>
            <w:tcW w:w="3181" w:type="dxa"/>
            <w:shd w:val="clear" w:color="auto" w:fill="F7F3EB"/>
            <w:vAlign w:val="center"/>
          </w:tcPr>
          <w:p w14:paraId="3ED96E02" w14:textId="77777777" w:rsidR="000C6F5D" w:rsidRDefault="00000000">
            <w:pPr>
              <w:spacing w:after="40"/>
            </w:pPr>
            <w:r>
              <w:rPr>
                <w:sz w:val="17"/>
              </w:rPr>
              <w:t>Pilots, participation, staged delivery, issue management and communication</w:t>
            </w:r>
          </w:p>
        </w:tc>
      </w:tr>
      <w:tr w:rsidR="000C6F5D" w14:paraId="6DA76088" w14:textId="77777777">
        <w:trPr>
          <w:jc w:val="center"/>
        </w:trPr>
        <w:tc>
          <w:tcPr>
            <w:tcW w:w="3181" w:type="dxa"/>
            <w:vAlign w:val="center"/>
          </w:tcPr>
          <w:p w14:paraId="500DFFCB" w14:textId="77777777" w:rsidR="000C6F5D" w:rsidRDefault="00000000">
            <w:pPr>
              <w:spacing w:after="40"/>
            </w:pPr>
            <w:r>
              <w:rPr>
                <w:sz w:val="17"/>
              </w:rPr>
              <w:t>Sustain</w:t>
            </w:r>
          </w:p>
        </w:tc>
        <w:tc>
          <w:tcPr>
            <w:tcW w:w="3181" w:type="dxa"/>
            <w:vAlign w:val="center"/>
          </w:tcPr>
          <w:p w14:paraId="441ADF12" w14:textId="77777777" w:rsidR="000C6F5D" w:rsidRDefault="00000000">
            <w:pPr>
              <w:spacing w:after="40"/>
            </w:pPr>
            <w:r>
              <w:rPr>
                <w:sz w:val="17"/>
              </w:rPr>
              <w:t>Setback plan, environmental supports, ownership and closure</w:t>
            </w:r>
          </w:p>
        </w:tc>
        <w:tc>
          <w:tcPr>
            <w:tcW w:w="3181" w:type="dxa"/>
            <w:vAlign w:val="center"/>
          </w:tcPr>
          <w:p w14:paraId="55EC8496" w14:textId="388B1557" w:rsidR="000C6F5D" w:rsidRDefault="00000000">
            <w:pPr>
              <w:spacing w:after="40"/>
            </w:pPr>
            <w:r>
              <w:rPr>
                <w:sz w:val="17"/>
              </w:rPr>
              <w:t>Benefits review, embedded ownership</w:t>
            </w:r>
            <w:r w:rsidR="003B18D3">
              <w:rPr>
                <w:sz w:val="17"/>
              </w:rPr>
              <w:t>/BAU handover</w:t>
            </w:r>
            <w:r>
              <w:rPr>
                <w:sz w:val="17"/>
              </w:rPr>
              <w:t>, monitoring, lessons and responsible closure</w:t>
            </w:r>
          </w:p>
        </w:tc>
      </w:tr>
    </w:tbl>
    <w:p w14:paraId="492F2CC7" w14:textId="77777777" w:rsidR="000C6F5D" w:rsidRDefault="000C6F5D">
      <w:pPr>
        <w:spacing w:after="0"/>
      </w:pPr>
    </w:p>
    <w:p w14:paraId="31D5B35F" w14:textId="77777777" w:rsidR="000C6F5D" w:rsidRDefault="00000000">
      <w:pPr>
        <w:jc w:val="both"/>
      </w:pPr>
      <w:r>
        <w:t xml:space="preserve">WHO guidance recommends organisational as well as individual approaches to mental health at work and cautions, by implication, against relying on individual resilience activity while harmful work conditions remain unchanged (World Health Organization, 2022). Happy Citta should therefore resist using individual coping support as a substitute for employer responsibility. Organisational delivery also introduces different buyers, power relationships, confidentiality risks and outcome measures. Transfer from the first individual </w:t>
      </w:r>
      <w:r>
        <w:lastRenderedPageBreak/>
        <w:t>pilot must consequently be treated as a new adaptation requiring stakeholder involvement and evaluation, not as automatic scale-up.</w:t>
      </w:r>
    </w:p>
    <w:p w14:paraId="6E4F1E9F" w14:textId="77777777" w:rsidR="000C6F5D" w:rsidRDefault="00000000">
      <w:pPr>
        <w:pStyle w:val="Heading1"/>
      </w:pPr>
      <w:r>
        <w:t>7. Boundaries and ethical considerations</w:t>
      </w:r>
    </w:p>
    <w:p w14:paraId="6C56B52B" w14:textId="77777777" w:rsidR="000C6F5D" w:rsidRDefault="00000000">
      <w:pPr>
        <w:jc w:val="both"/>
      </w:pPr>
      <w:r>
        <w:t>The method may inform therapy, guided non-therapeutic change, workplace consultancy or digitally supported reflection, but these pathways are not interchangeable. Each requires an explicit contract describing purpose, practitioner competence, confidentiality, limitations, data use, alternatives and referral arrangements. Where therapy is provided, recognised professional ethics, clinical governance and supervision apply; where guided change is non-therapeutic, marketing and delivery must not imply diagnosis or treatment. The BACP Ethical Framework emphasises trustworthiness, autonomy, beneficence, non-maleficence, justice and practitioner self-respect as relevant professional commitments (British Association for Counselling and Psychotherapy, 2018).</w:t>
      </w:r>
    </w:p>
    <w:p w14:paraId="557112C1" w14:textId="77777777" w:rsidR="000C6F5D" w:rsidRDefault="00000000">
      <w:pPr>
        <w:jc w:val="both"/>
      </w:pPr>
      <w:r>
        <w:t>Safety and suitability are continuing decisions rather than an entry formality. Material risk, distress outside scope, uncertainty about competence or a need for regulated care should trigger pause, human review, referral or emergency signposting. The method should not be used to secure compliance with an employer’s preferred outcome, to ‘project-manage’ another person, or to frame structural harm as an individual motivation deficit.</w:t>
      </w:r>
    </w:p>
    <w:p w14:paraId="6DE951C0" w14:textId="77777777" w:rsidR="000C6F5D" w:rsidRDefault="00000000">
      <w:pPr>
        <w:jc w:val="both"/>
      </w:pPr>
      <w:r>
        <w:t>Digital support, including Zenny, should initially remain supplementary. It may structure reflection, record progress, rehearse questions and reinforce an agreed plan, but should not diagnose, claim to provide therapy, autonomously assess safety or determine access to support. Reviews of blended psychological care suggest promise but substantial heterogeneity; they do not establish the effectiveness of a self-guided Happy Citta tool (Erbe et al., 2017; Nunes-Zlotkowski et al., 2024). Any digital health claims should be matched to the appropriate evidence tier in the NICE Evidence Standards Framework (NICE, 2022).</w:t>
      </w:r>
    </w:p>
    <w:p w14:paraId="2AF21236" w14:textId="77777777" w:rsidR="000C6F5D" w:rsidRDefault="00000000">
      <w:pPr>
        <w:jc w:val="both"/>
      </w:pPr>
      <w:r>
        <w:t>Personal reflections may contain health or other special-category data. Data minimisation, purpose limitation, retention, access controls and transparent explanation of AI use should be designed before collection. A Data Protection Impact Assessment is required where processing is likely to create high risk and is a prudent early governance question for AI-enabled or sensitive-data pilots (Information Commissioner’s Office, 2024). Named human accountability, incident processes and review of bias, accessibility and exclusion are essential.</w:t>
      </w:r>
    </w:p>
    <w:p w14:paraId="23B164FB" w14:textId="77777777" w:rsidR="000C6F5D" w:rsidRDefault="00000000">
      <w:pPr>
        <w:pStyle w:val="Heading1"/>
      </w:pPr>
      <w:r>
        <w:t>8. Current evidence and limitations</w:t>
      </w:r>
    </w:p>
    <w:p w14:paraId="677BAFF9" w14:textId="77777777" w:rsidR="000C6F5D" w:rsidRDefault="00000000">
      <w:pPr>
        <w:jc w:val="both"/>
      </w:pPr>
      <w:r>
        <w:t>The present evidence supports a rationale for testing, not a claim of efficacy. First, evidence is uneven across components: implementation intentions, CBT and therapeutic alliance have substantial literatures, whereas some technique families are supported by smaller, heterogeneous or contested evidence bases. Second, evidence from clinical treatment, group development or formal projects may not transfer to guided personal change. Third, the model’s breadth risks theoretical eclecticism: without clear selection rules, practitioners could combine techniques superficially or beyond competence. Fourth, founder involvement may create allegiance, expectancy and social-desirability effects. Fifth, a small, self-selecting pilot may establish feasibility and acceptability but not comparative effectiveness, durability or generalisability.</w:t>
      </w:r>
    </w:p>
    <w:p w14:paraId="0F1AC58B" w14:textId="77777777" w:rsidR="000C6F5D" w:rsidRDefault="00000000">
      <w:pPr>
        <w:jc w:val="both"/>
      </w:pPr>
      <w:r>
        <w:t>The method also embeds normative choices. ‘Meaningful’, ‘sustainable’ and ‘proportionate’ require negotiation, and individual and organisational interests may conflict. Outcomes should therefore include adverse effects, burden, reasons for withdrawal and occasions when pausing or changing direction was more appropriate than completing the plan. Fidelity assessment should record whether the five functions, gates and safeguards occurred, while allowing legitimate adaptation.</w:t>
      </w:r>
    </w:p>
    <w:p w14:paraId="1119100F" w14:textId="77777777" w:rsidR="000C6F5D" w:rsidRDefault="00000000">
      <w:pPr>
        <w:jc w:val="both"/>
      </w:pPr>
      <w:r>
        <w:t xml:space="preserve">The most accurate current description is therefore a </w:t>
      </w:r>
      <w:r>
        <w:rPr>
          <w:b/>
        </w:rPr>
        <w:t>proposed evidence-informed methodology</w:t>
      </w:r>
      <w:r>
        <w:t>. External research supports selected principles and tools. Observations from development exercises can refine usability but are not empirical evidence. Happy Citta-specific effectiveness remains untested.</w:t>
      </w:r>
    </w:p>
    <w:p w14:paraId="0989C986" w14:textId="77777777" w:rsidR="000C6F5D" w:rsidRDefault="00000000">
      <w:pPr>
        <w:pStyle w:val="Heading1"/>
      </w:pPr>
      <w:r>
        <w:lastRenderedPageBreak/>
        <w:t>9. Testing and development</w:t>
      </w:r>
    </w:p>
    <w:p w14:paraId="0604C465" w14:textId="77777777" w:rsidR="000C6F5D" w:rsidRDefault="00000000">
      <w:pPr>
        <w:jc w:val="both"/>
      </w:pPr>
      <w:r>
        <w:t>Development should follow a staged pathway consistent with complex-intervention guidance (Skivington et al., 2021). The first phase should refine the programme theory with prospective users, practitioners and relevant safeguarding or data-protection expertise. Cognitive interviews or usability sessions can test whether stage names, questions, boundaries and materials are understood. A documented logic model should connect components, proposed mechanisms, proximal outcomes and contextual assumptions.</w:t>
      </w:r>
    </w:p>
    <w:p w14:paraId="7FEEF855" w14:textId="77777777" w:rsidR="000C6F5D" w:rsidRDefault="00000000">
      <w:pPr>
        <w:jc w:val="both"/>
      </w:pPr>
      <w:r>
        <w:t>A small human-led, non-therapeutic feasibility pilot should then test one defined individual application before organisational or self-guided extensions. It should examine recruitment, suitability, retention, stage completion, participant and practitioner burden, acceptability, boundary clarity, adverse events and delivery fidelity. Candidate proximal outcomes include clarity about the problem and desired change, identification of COM-B barriers, perceived feasibility, action initiation, adaptation following obstacles and confidence in maintaining or revising progress. Qualitative interviews should investigate how participants believe change occurred, including mechanisms that did not operate and unintended effects.</w:t>
      </w:r>
    </w:p>
    <w:p w14:paraId="28A33F8D" w14:textId="77777777" w:rsidR="00AE2797" w:rsidRDefault="00000000">
      <w:pPr>
        <w:jc w:val="both"/>
      </w:pPr>
      <w:r>
        <w:t xml:space="preserve">Predefined decision gates should govern progression: </w:t>
      </w:r>
    </w:p>
    <w:p w14:paraId="52E07027" w14:textId="77777777" w:rsidR="00AE2797" w:rsidRDefault="00AE2797" w:rsidP="00AE2797">
      <w:pPr>
        <w:pStyle w:val="ListParagraph"/>
        <w:numPr>
          <w:ilvl w:val="0"/>
          <w:numId w:val="11"/>
        </w:numPr>
        <w:jc w:val="both"/>
      </w:pPr>
      <w:r>
        <w:t>T</w:t>
      </w:r>
      <w:r w:rsidR="00000000">
        <w:t>he model and pathway are sufficiently specified;</w:t>
      </w:r>
    </w:p>
    <w:p w14:paraId="09C0B704" w14:textId="77777777" w:rsidR="00AE2797" w:rsidRDefault="00AE2797" w:rsidP="00AE2797">
      <w:pPr>
        <w:pStyle w:val="ListParagraph"/>
        <w:numPr>
          <w:ilvl w:val="0"/>
          <w:numId w:val="11"/>
        </w:numPr>
        <w:jc w:val="both"/>
      </w:pPr>
      <w:r>
        <w:t>S</w:t>
      </w:r>
      <w:r w:rsidR="00000000">
        <w:t>afety, referral and data processes are operational;</w:t>
      </w:r>
    </w:p>
    <w:p w14:paraId="3C3A1F72" w14:textId="77777777" w:rsidR="00AE2797" w:rsidRDefault="00AE2797" w:rsidP="00AE2797">
      <w:pPr>
        <w:pStyle w:val="ListParagraph"/>
        <w:numPr>
          <w:ilvl w:val="0"/>
          <w:numId w:val="11"/>
        </w:numPr>
        <w:jc w:val="both"/>
      </w:pPr>
      <w:r>
        <w:t>P</w:t>
      </w:r>
      <w:r w:rsidR="00000000">
        <w:t>articipants can understand and complete the process;</w:t>
      </w:r>
    </w:p>
    <w:p w14:paraId="21EE7932" w14:textId="77777777" w:rsidR="00AE2797" w:rsidRDefault="00AE2797" w:rsidP="00AE2797">
      <w:pPr>
        <w:pStyle w:val="ListParagraph"/>
        <w:numPr>
          <w:ilvl w:val="0"/>
          <w:numId w:val="11"/>
        </w:numPr>
        <w:jc w:val="both"/>
      </w:pPr>
      <w:r>
        <w:t>T</w:t>
      </w:r>
      <w:r w:rsidR="00000000">
        <w:t>he experience is acceptable and accessible;</w:t>
      </w:r>
    </w:p>
    <w:p w14:paraId="616E882F" w14:textId="77777777" w:rsidR="00AE2797" w:rsidRDefault="00AE2797" w:rsidP="00AE2797">
      <w:pPr>
        <w:pStyle w:val="ListParagraph"/>
        <w:numPr>
          <w:ilvl w:val="0"/>
          <w:numId w:val="11"/>
        </w:numPr>
        <w:jc w:val="both"/>
      </w:pPr>
      <w:r>
        <w:t>P</w:t>
      </w:r>
      <w:r w:rsidR="00000000">
        <w:t>roposed mechanisms are observable; and</w:t>
      </w:r>
    </w:p>
    <w:p w14:paraId="0DB9C413" w14:textId="7966A82C" w:rsidR="000C6F5D" w:rsidRDefault="00AE2797" w:rsidP="00AE2797">
      <w:pPr>
        <w:pStyle w:val="ListParagraph"/>
        <w:numPr>
          <w:ilvl w:val="0"/>
          <w:numId w:val="11"/>
        </w:numPr>
        <w:jc w:val="both"/>
      </w:pPr>
      <w:r>
        <w:t>O</w:t>
      </w:r>
      <w:r w:rsidR="00000000">
        <w:t>utcome and unintended-effect data justify further study. The decision may be to continue, refine, restrict, pause or discontinue.</w:t>
      </w:r>
    </w:p>
    <w:p w14:paraId="2AA3D5A9" w14:textId="77777777" w:rsidR="000C6F5D" w:rsidRDefault="00000000">
      <w:pPr>
        <w:jc w:val="both"/>
      </w:pPr>
      <w:r>
        <w:t xml:space="preserve">Only after feasibility should a larger study estimate outcomes and durability. Depending on maturity and resources, this might use repeated measures with a prespecified analysis plan, followed by a controlled design comparing the method with an appropriate alternative or usual support. Organisational and digital versions require renewed programme theory, co-design, governance and feasibility work because their mechanisms and risks differ. Reporting should preserve four evidence labels: </w:t>
      </w:r>
      <w:r>
        <w:rPr>
          <w:b/>
        </w:rPr>
        <w:t>evidence-supported principle</w:t>
      </w:r>
      <w:r>
        <w:t xml:space="preserve">, </w:t>
      </w:r>
      <w:r>
        <w:rPr>
          <w:b/>
        </w:rPr>
        <w:t>Happy Citta hypothesis</w:t>
      </w:r>
      <w:r>
        <w:t xml:space="preserve">, </w:t>
      </w:r>
      <w:r>
        <w:rPr>
          <w:b/>
        </w:rPr>
        <w:t>observed pilot finding</w:t>
      </w:r>
      <w:r>
        <w:t xml:space="preserve"> and </w:t>
      </w:r>
      <w:r>
        <w:rPr>
          <w:b/>
        </w:rPr>
        <w:t>demonstrated Happy Citta outcome</w:t>
      </w:r>
      <w:r>
        <w:t>. This allows claims to strengthen only as the corresponding evidence develops.</w:t>
      </w:r>
    </w:p>
    <w:p w14:paraId="6A48762E" w14:textId="77777777" w:rsidR="000C6F5D" w:rsidRDefault="00000000">
      <w:pPr>
        <w:pStyle w:val="Heading1"/>
      </w:pPr>
      <w:r>
        <w:t>10. Conclusion</w:t>
      </w:r>
    </w:p>
    <w:p w14:paraId="78EAAEFB" w14:textId="4F190F87" w:rsidR="000C6F5D" w:rsidRDefault="00000000">
      <w:pPr>
        <w:jc w:val="both"/>
      </w:pPr>
      <w:r>
        <w:t>The Happy Citta Method offers a coherent response to a recognisable gap between insight and implementation. Its contribution lies less in inventing new psychological or project techniques than in organising them through five accessible functions, two interacting tracks, diagnostic gates and explicit safeguards. The framework is theoretically plausible and grounded in several relevant evidence bases, but those foundations do not validate the integrated method. Its credibility will depend on disciplined boundaries, proportionate technique selection, attention to structural context and transparent evaluation. The immediate task is therefore not to prove that the method works, but to determine whether it can be delivered safely, understood, completed and refined</w:t>
      </w:r>
      <w:r w:rsidR="00AE2797">
        <w:t xml:space="preserve"> </w:t>
      </w:r>
      <w:r>
        <w:t>and whether its proposed mechanisms warrant more rigorous testing.</w:t>
      </w:r>
    </w:p>
    <w:p w14:paraId="5563E433" w14:textId="77777777" w:rsidR="00E94A10" w:rsidRDefault="00E94A10">
      <w:pPr>
        <w:spacing w:after="200" w:line="276" w:lineRule="auto"/>
        <w:rPr>
          <w:rFonts w:asciiTheme="majorHAnsi" w:eastAsiaTheme="majorEastAsia" w:hAnsiTheme="majorHAnsi" w:cstheme="majorBidi"/>
          <w:b/>
          <w:bCs/>
          <w:color w:val="2F6F68"/>
          <w:sz w:val="34"/>
          <w:szCs w:val="28"/>
        </w:rPr>
      </w:pPr>
      <w:r>
        <w:br w:type="page"/>
      </w:r>
    </w:p>
    <w:p w14:paraId="5E47BF14" w14:textId="0974801F" w:rsidR="000C6F5D" w:rsidRDefault="00000000">
      <w:pPr>
        <w:pStyle w:val="Heading1"/>
      </w:pPr>
      <w:r>
        <w:lastRenderedPageBreak/>
        <w:t>References</w:t>
      </w:r>
    </w:p>
    <w:p w14:paraId="017A51B0" w14:textId="77777777" w:rsidR="000C6F5D" w:rsidRDefault="00000000">
      <w:pPr>
        <w:spacing w:after="120"/>
        <w:ind w:left="360" w:hanging="360"/>
      </w:pPr>
      <w:r>
        <w:t xml:space="preserve">A-Tjak, J.G.L. et al. (2015) ‘A meta-analysis of the efficacy of acceptance and commitment therapy for clinically relevant mental and physical health problems’, </w:t>
      </w:r>
      <w:r>
        <w:rPr>
          <w:i/>
        </w:rPr>
        <w:t>Psychotherapy and Psychosomatics</w:t>
      </w:r>
      <w:r>
        <w:t xml:space="preserve">, 84(1), pp. 30–36. </w:t>
      </w:r>
      <w:hyperlink r:id="rId11">
        <w:r>
          <w:rPr>
            <w:color w:val="2F6F68"/>
            <w:u w:val="single"/>
          </w:rPr>
          <w:t>https://doi.org/10.1159/000365764</w:t>
        </w:r>
      </w:hyperlink>
      <w:r>
        <w:t>.</w:t>
      </w:r>
    </w:p>
    <w:p w14:paraId="4C9C843C" w14:textId="77777777" w:rsidR="000C6F5D" w:rsidRDefault="00000000">
      <w:pPr>
        <w:spacing w:after="120"/>
        <w:ind w:left="360" w:hanging="360"/>
      </w:pPr>
      <w:r>
        <w:t xml:space="preserve">Association for Project Management (2025) </w:t>
      </w:r>
      <w:r>
        <w:rPr>
          <w:i/>
        </w:rPr>
        <w:t>APM Body of Knowledge</w:t>
      </w:r>
      <w:r>
        <w:t xml:space="preserve">. 8th edn. Princes Risborough: Association for Project Management. Available at: </w:t>
      </w:r>
      <w:hyperlink r:id="rId12">
        <w:r>
          <w:rPr>
            <w:color w:val="2F6F68"/>
            <w:u w:val="single"/>
          </w:rPr>
          <w:t>https://www.apm.org.uk/apm-body-of-knowledge/</w:t>
        </w:r>
      </w:hyperlink>
      <w:r>
        <w:t xml:space="preserve"> (Accessed: 5 September 2026).</w:t>
      </w:r>
    </w:p>
    <w:p w14:paraId="2B89CD96" w14:textId="77777777" w:rsidR="000C6F5D" w:rsidRDefault="00000000">
      <w:pPr>
        <w:spacing w:after="120"/>
        <w:ind w:left="360" w:hanging="360"/>
      </w:pPr>
      <w:r>
        <w:t xml:space="preserve">Belbin, R.M. (2010) </w:t>
      </w:r>
      <w:r>
        <w:rPr>
          <w:i/>
        </w:rPr>
        <w:t>Team Roles at Work</w:t>
      </w:r>
      <w:r>
        <w:t>. 2nd edn. Oxford: Butterworth-Heinemann.</w:t>
      </w:r>
    </w:p>
    <w:p w14:paraId="60A0C5FD" w14:textId="77777777" w:rsidR="000C6F5D" w:rsidRDefault="00000000">
      <w:pPr>
        <w:spacing w:after="120"/>
        <w:ind w:left="360" w:hanging="360"/>
      </w:pPr>
      <w:r>
        <w:t xml:space="preserve">British Association for Counselling and Psychotherapy (2018) </w:t>
      </w:r>
      <w:r>
        <w:rPr>
          <w:i/>
        </w:rPr>
        <w:t>Ethical Framework for the Counselling Professions</w:t>
      </w:r>
      <w:r>
        <w:t xml:space="preserve">. Lutterworth: BACP. Available at: </w:t>
      </w:r>
      <w:hyperlink r:id="rId13">
        <w:r>
          <w:rPr>
            <w:color w:val="2F6F68"/>
            <w:u w:val="single"/>
          </w:rPr>
          <w:t>https://www.bacp.co.uk/events-and-resources/ethics-and-standards/ethical-framework-for-the-counselling-professions/</w:t>
        </w:r>
      </w:hyperlink>
      <w:r>
        <w:t xml:space="preserve"> (Accessed: 5 September 2026).</w:t>
      </w:r>
    </w:p>
    <w:p w14:paraId="12D8543A" w14:textId="77777777" w:rsidR="000C6F5D" w:rsidRDefault="00000000">
      <w:pPr>
        <w:spacing w:after="120"/>
        <w:ind w:left="360" w:hanging="360"/>
      </w:pPr>
      <w:r>
        <w:t xml:space="preserve">Butler, A.C. et al. (2006) ‘The empirical status of cognitive-behavioral therapy: a review of meta-analyses’, </w:t>
      </w:r>
      <w:r>
        <w:rPr>
          <w:i/>
        </w:rPr>
        <w:t>Clinical Psychology Review</w:t>
      </w:r>
      <w:r>
        <w:t xml:space="preserve">, 26(1), pp. 17–31. </w:t>
      </w:r>
      <w:hyperlink r:id="rId14">
        <w:r>
          <w:rPr>
            <w:color w:val="2F6F68"/>
            <w:u w:val="single"/>
          </w:rPr>
          <w:t>https://doi.org/10.1016/j.cpr.2005.07.003</w:t>
        </w:r>
      </w:hyperlink>
      <w:r>
        <w:t>.</w:t>
      </w:r>
    </w:p>
    <w:p w14:paraId="1023FC55" w14:textId="77777777" w:rsidR="000C6F5D" w:rsidRDefault="00000000">
      <w:pPr>
        <w:spacing w:after="120"/>
        <w:ind w:left="360" w:hanging="360"/>
      </w:pPr>
      <w:r>
        <w:t xml:space="preserve">Erbe, D. et al. (2017) ‘Blending face-to-face and internet-based interventions for the treatment of mental disorders in adults: systematic review’, </w:t>
      </w:r>
      <w:r>
        <w:rPr>
          <w:i/>
        </w:rPr>
        <w:t>Journal of Medical Internet Research</w:t>
      </w:r>
      <w:r>
        <w:t xml:space="preserve">, 19(9), e306. </w:t>
      </w:r>
      <w:hyperlink r:id="rId15">
        <w:r>
          <w:rPr>
            <w:color w:val="2F6F68"/>
            <w:u w:val="single"/>
          </w:rPr>
          <w:t>https://doi.org/10.2196/jmir.6588</w:t>
        </w:r>
      </w:hyperlink>
      <w:r>
        <w:t>.</w:t>
      </w:r>
    </w:p>
    <w:p w14:paraId="4F93F263" w14:textId="77777777" w:rsidR="000C6F5D" w:rsidRDefault="00000000">
      <w:pPr>
        <w:spacing w:after="120"/>
        <w:ind w:left="360" w:hanging="360"/>
      </w:pPr>
      <w:r>
        <w:t xml:space="preserve">Flückiger, C. et al. (2018) ‘The alliance in adult psychotherapy: a meta-analytic synthesis’, </w:t>
      </w:r>
      <w:r>
        <w:rPr>
          <w:i/>
        </w:rPr>
        <w:t>Psychotherapy</w:t>
      </w:r>
      <w:r>
        <w:t xml:space="preserve">, 55(4), pp. 316–340. </w:t>
      </w:r>
      <w:hyperlink r:id="rId16">
        <w:r>
          <w:rPr>
            <w:color w:val="2F6F68"/>
            <w:u w:val="single"/>
          </w:rPr>
          <w:t>https://doi.org/10.1037/pst0000172</w:t>
        </w:r>
      </w:hyperlink>
      <w:r>
        <w:t>.</w:t>
      </w:r>
    </w:p>
    <w:p w14:paraId="79C6B1ED" w14:textId="77777777" w:rsidR="000C6F5D" w:rsidRDefault="00000000">
      <w:pPr>
        <w:spacing w:after="120"/>
        <w:ind w:left="360" w:hanging="360"/>
      </w:pPr>
      <w:r>
        <w:t xml:space="preserve">Gollwitzer, P.M. (1999) ‘Implementation intentions: strong effects of simple plans’, </w:t>
      </w:r>
      <w:r>
        <w:rPr>
          <w:i/>
        </w:rPr>
        <w:t>American Psychologist</w:t>
      </w:r>
      <w:r>
        <w:t xml:space="preserve">, 54(7), pp. 493–503. </w:t>
      </w:r>
      <w:hyperlink r:id="rId17">
        <w:r>
          <w:rPr>
            <w:color w:val="2F6F68"/>
            <w:u w:val="single"/>
          </w:rPr>
          <w:t>https://doi.org/10.1037/0003-066X.54.7.493</w:t>
        </w:r>
      </w:hyperlink>
      <w:r>
        <w:t>.</w:t>
      </w:r>
    </w:p>
    <w:p w14:paraId="56A4DBDD" w14:textId="77777777" w:rsidR="000C6F5D" w:rsidRDefault="00000000">
      <w:pPr>
        <w:spacing w:after="120"/>
        <w:ind w:left="360" w:hanging="360"/>
      </w:pPr>
      <w:r>
        <w:t xml:space="preserve">Gollwitzer, P.M. and Sheeran, P. (2006) ‘Implementation intentions and goal achievement: a meta-analysis of effects and processes’, </w:t>
      </w:r>
      <w:r>
        <w:rPr>
          <w:i/>
        </w:rPr>
        <w:t>Advances in Experimental Social Psychology</w:t>
      </w:r>
      <w:r>
        <w:t xml:space="preserve">, 38, pp. 69–119. </w:t>
      </w:r>
      <w:hyperlink r:id="rId18">
        <w:r>
          <w:rPr>
            <w:color w:val="2F6F68"/>
            <w:u w:val="single"/>
          </w:rPr>
          <w:t>https://doi.org/10.1016/S0065-2601(06)38002-1</w:t>
        </w:r>
      </w:hyperlink>
      <w:r>
        <w:t>.</w:t>
      </w:r>
    </w:p>
    <w:p w14:paraId="0D93966A" w14:textId="77777777" w:rsidR="000C6F5D" w:rsidRDefault="00000000">
      <w:pPr>
        <w:spacing w:after="120"/>
        <w:ind w:left="360" w:hanging="360"/>
      </w:pPr>
      <w:r>
        <w:t xml:space="preserve">Information Commissioner’s Office (2024) </w:t>
      </w:r>
      <w:r>
        <w:rPr>
          <w:i/>
        </w:rPr>
        <w:t>Data protection impact assessments</w:t>
      </w:r>
      <w:r>
        <w:t xml:space="preserve">. Available at: </w:t>
      </w:r>
      <w:hyperlink r:id="rId19">
        <w:r>
          <w:rPr>
            <w:color w:val="2F6F68"/>
            <w:u w:val="single"/>
          </w:rPr>
          <w:t>https://ico.org.uk/for-organisations/uk-gdpr-guidance-and-resources/accountability-and-governance/data-protection-impact-assessments-dpias/</w:t>
        </w:r>
      </w:hyperlink>
      <w:r>
        <w:t xml:space="preserve"> (Accessed: 5 September 2026).</w:t>
      </w:r>
    </w:p>
    <w:p w14:paraId="71FE0DE9" w14:textId="77777777" w:rsidR="000C6F5D" w:rsidRDefault="00000000">
      <w:pPr>
        <w:spacing w:after="120"/>
        <w:ind w:left="360" w:hanging="360"/>
      </w:pPr>
      <w:r>
        <w:t xml:space="preserve">Kim, J.S. (2008) ‘Examining the effectiveness of solution-focused brief therapy: a meta-analysis’, </w:t>
      </w:r>
      <w:r>
        <w:rPr>
          <w:i/>
        </w:rPr>
        <w:t>Research on Social Work Practice</w:t>
      </w:r>
      <w:r>
        <w:t xml:space="preserve">, 18(2), pp. 107–116. </w:t>
      </w:r>
      <w:hyperlink r:id="rId20">
        <w:r>
          <w:rPr>
            <w:color w:val="2F6F68"/>
            <w:u w:val="single"/>
          </w:rPr>
          <w:t>https://doi.org/10.1177/1049731507307807</w:t>
        </w:r>
      </w:hyperlink>
      <w:r>
        <w:t>.</w:t>
      </w:r>
    </w:p>
    <w:p w14:paraId="3A68A6B2" w14:textId="77777777" w:rsidR="000C6F5D" w:rsidRDefault="00000000">
      <w:pPr>
        <w:spacing w:after="120"/>
        <w:ind w:left="360" w:hanging="360"/>
      </w:pPr>
      <w:r>
        <w:t xml:space="preserve">Kirby, J.N., Tellegen, C.L. and Steindl, S.R. (2017) ‘A meta-analysis of compassion-based interventions: current state of knowledge and future directions’, </w:t>
      </w:r>
      <w:r>
        <w:rPr>
          <w:i/>
        </w:rPr>
        <w:t>Behavior Therapy</w:t>
      </w:r>
      <w:r>
        <w:t xml:space="preserve">, 48(6), pp. 778–792. </w:t>
      </w:r>
      <w:hyperlink r:id="rId21">
        <w:r>
          <w:rPr>
            <w:color w:val="2F6F68"/>
            <w:u w:val="single"/>
          </w:rPr>
          <w:t>https://doi.org/10.1016/j.beth.2017.06.003</w:t>
        </w:r>
      </w:hyperlink>
      <w:r>
        <w:t>.</w:t>
      </w:r>
    </w:p>
    <w:p w14:paraId="5BCFC8AA" w14:textId="77777777" w:rsidR="000C6F5D" w:rsidRDefault="00000000">
      <w:pPr>
        <w:spacing w:after="120"/>
        <w:ind w:left="360" w:hanging="360"/>
      </w:pPr>
      <w:r>
        <w:t xml:space="preserve">Kübler-Ross, E. (1969) </w:t>
      </w:r>
      <w:r>
        <w:rPr>
          <w:i/>
        </w:rPr>
        <w:t>On Death and Dying</w:t>
      </w:r>
      <w:r>
        <w:t>. New York: Macmillan.</w:t>
      </w:r>
    </w:p>
    <w:p w14:paraId="4D51FEF8" w14:textId="77777777" w:rsidR="000C6F5D" w:rsidRDefault="00000000">
      <w:pPr>
        <w:spacing w:after="120"/>
        <w:ind w:left="360" w:hanging="360"/>
      </w:pPr>
      <w:r>
        <w:t xml:space="preserve">Michie, S., van Stralen, M.M. and West, R. (2011) ‘The behaviour change wheel: a new method for characterising and designing behaviour change interventions’, </w:t>
      </w:r>
      <w:r>
        <w:rPr>
          <w:i/>
        </w:rPr>
        <w:t>Implementation Science</w:t>
      </w:r>
      <w:r>
        <w:t xml:space="preserve">, 6, 42. </w:t>
      </w:r>
      <w:hyperlink r:id="rId22">
        <w:r>
          <w:rPr>
            <w:color w:val="2F6F68"/>
            <w:u w:val="single"/>
          </w:rPr>
          <w:t>https://doi.org/10.1186/1748-5908-6-42</w:t>
        </w:r>
      </w:hyperlink>
      <w:r>
        <w:t>.</w:t>
      </w:r>
    </w:p>
    <w:p w14:paraId="5DAF486F" w14:textId="77777777" w:rsidR="000C6F5D" w:rsidRDefault="00000000">
      <w:pPr>
        <w:spacing w:after="120"/>
        <w:ind w:left="360" w:hanging="360"/>
      </w:pPr>
      <w:r>
        <w:t xml:space="preserve">National Institute for Health and Care Excellence (2022) </w:t>
      </w:r>
      <w:r>
        <w:rPr>
          <w:i/>
        </w:rPr>
        <w:t>Evidence standards framework for digital health technologies</w:t>
      </w:r>
      <w:r>
        <w:t xml:space="preserve">. Available at: </w:t>
      </w:r>
      <w:hyperlink r:id="rId23">
        <w:r>
          <w:rPr>
            <w:color w:val="2F6F68"/>
            <w:u w:val="single"/>
          </w:rPr>
          <w:t>https://www.nice.org.uk/corporate/ecd7</w:t>
        </w:r>
      </w:hyperlink>
      <w:r>
        <w:t xml:space="preserve"> (Accessed: 5 September 2026).</w:t>
      </w:r>
    </w:p>
    <w:p w14:paraId="287AAA16" w14:textId="77777777" w:rsidR="000C6F5D" w:rsidRDefault="00000000">
      <w:pPr>
        <w:spacing w:after="120"/>
        <w:ind w:left="360" w:hanging="360"/>
      </w:pPr>
      <w:r>
        <w:t xml:space="preserve">Nunes-Zlotkowski, K.F. et al. (2024) ‘Blended psychological therapy for the treatment of psychological disorders in adult patients: systematic review and meta-analysis’, </w:t>
      </w:r>
      <w:r>
        <w:rPr>
          <w:i/>
        </w:rPr>
        <w:t>Interactive Journal of Medical Research</w:t>
      </w:r>
      <w:r>
        <w:t xml:space="preserve">, 13, e49660. </w:t>
      </w:r>
      <w:hyperlink r:id="rId24">
        <w:r>
          <w:rPr>
            <w:color w:val="2F6F68"/>
            <w:u w:val="single"/>
          </w:rPr>
          <w:t>https://doi.org/10.2196/49660</w:t>
        </w:r>
      </w:hyperlink>
      <w:r>
        <w:t>.</w:t>
      </w:r>
    </w:p>
    <w:p w14:paraId="04DBC6B8" w14:textId="77777777" w:rsidR="000C6F5D" w:rsidRDefault="00000000">
      <w:pPr>
        <w:spacing w:after="120"/>
        <w:ind w:left="360" w:hanging="360"/>
      </w:pPr>
      <w:r>
        <w:t xml:space="preserve">PeopleCert (2023) </w:t>
      </w:r>
      <w:r>
        <w:rPr>
          <w:i/>
        </w:rPr>
        <w:t>Managing Successful Projects with PRINCE2</w:t>
      </w:r>
      <w:r>
        <w:t>. 7th edn. London: TSO.</w:t>
      </w:r>
    </w:p>
    <w:p w14:paraId="7E632136" w14:textId="77777777" w:rsidR="000C6F5D" w:rsidRDefault="00000000">
      <w:pPr>
        <w:spacing w:after="120"/>
        <w:ind w:left="360" w:hanging="360"/>
      </w:pPr>
      <w:r>
        <w:t xml:space="preserve">Skivington, K. et al. (2021) ‘A new framework for developing and evaluating complex interventions: update of Medical Research Council guidance’, </w:t>
      </w:r>
      <w:r>
        <w:rPr>
          <w:i/>
        </w:rPr>
        <w:t>BMJ</w:t>
      </w:r>
      <w:r>
        <w:t xml:space="preserve">, 374, n2061. </w:t>
      </w:r>
      <w:hyperlink r:id="rId25">
        <w:r>
          <w:rPr>
            <w:color w:val="2F6F68"/>
            <w:u w:val="single"/>
          </w:rPr>
          <w:t>https://doi.org/10.1136/bmj.n2061</w:t>
        </w:r>
      </w:hyperlink>
      <w:r>
        <w:t>.</w:t>
      </w:r>
    </w:p>
    <w:p w14:paraId="3BFE0071" w14:textId="77777777" w:rsidR="000C6F5D" w:rsidRDefault="00000000">
      <w:pPr>
        <w:spacing w:after="120"/>
        <w:ind w:left="360" w:hanging="360"/>
      </w:pPr>
      <w:r>
        <w:lastRenderedPageBreak/>
        <w:t xml:space="preserve">Stroebe, M., Schut, H. and Boerner, K. (2017) ‘Cautioning health-care professionals: bereaved persons are misguided through the stages of grief’, </w:t>
      </w:r>
      <w:r>
        <w:rPr>
          <w:i/>
        </w:rPr>
        <w:t>OMEGA—Journal of Death and Dying</w:t>
      </w:r>
      <w:r>
        <w:t xml:space="preserve">, 74(4), pp. 455–473. </w:t>
      </w:r>
      <w:hyperlink r:id="rId26">
        <w:r>
          <w:rPr>
            <w:color w:val="2F6F68"/>
            <w:u w:val="single"/>
          </w:rPr>
          <w:t>https://doi.org/10.1177/0030222817691870</w:t>
        </w:r>
      </w:hyperlink>
      <w:r>
        <w:t>.</w:t>
      </w:r>
    </w:p>
    <w:p w14:paraId="1A63B137" w14:textId="77777777" w:rsidR="000C6F5D" w:rsidRDefault="00000000">
      <w:pPr>
        <w:spacing w:after="120"/>
        <w:ind w:left="360" w:hanging="360"/>
      </w:pPr>
      <w:r>
        <w:t xml:space="preserve">Tuckman, B.W. (1965) ‘Developmental sequence in small groups’, </w:t>
      </w:r>
      <w:r>
        <w:rPr>
          <w:i/>
        </w:rPr>
        <w:t>Psychological Bulletin</w:t>
      </w:r>
      <w:r>
        <w:t xml:space="preserve">, 63(6), pp. 384–399. </w:t>
      </w:r>
      <w:hyperlink r:id="rId27">
        <w:r>
          <w:rPr>
            <w:color w:val="2F6F68"/>
            <w:u w:val="single"/>
          </w:rPr>
          <w:t>https://doi.org/10.1037/h0022100</w:t>
        </w:r>
      </w:hyperlink>
      <w:r>
        <w:t>.</w:t>
      </w:r>
    </w:p>
    <w:p w14:paraId="7D924D5D" w14:textId="77777777" w:rsidR="000C6F5D" w:rsidRDefault="00000000">
      <w:pPr>
        <w:spacing w:after="120"/>
        <w:ind w:left="360" w:hanging="360"/>
      </w:pPr>
      <w:r>
        <w:t xml:space="preserve">Vos, J., Craig, M. and Cooper, M. (2015) ‘Existential therapies: a meta-analysis of their effects on psychological outcomes’, </w:t>
      </w:r>
      <w:r>
        <w:rPr>
          <w:i/>
        </w:rPr>
        <w:t>Journal of Consulting and Clinical Psychology</w:t>
      </w:r>
      <w:r>
        <w:t xml:space="preserve">, 83(1), pp. 115–128. </w:t>
      </w:r>
      <w:hyperlink r:id="rId28">
        <w:r>
          <w:rPr>
            <w:color w:val="2F6F68"/>
            <w:u w:val="single"/>
          </w:rPr>
          <w:t>https://doi.org/10.1037/a0037167</w:t>
        </w:r>
      </w:hyperlink>
      <w:r>
        <w:t>.</w:t>
      </w:r>
    </w:p>
    <w:p w14:paraId="70AEE670" w14:textId="77777777" w:rsidR="000C6F5D" w:rsidRDefault="00000000">
      <w:pPr>
        <w:spacing w:after="120"/>
        <w:ind w:left="360" w:hanging="360"/>
      </w:pPr>
      <w:r>
        <w:t xml:space="preserve">White, M. and Epston, D. (1990) </w:t>
      </w:r>
      <w:r>
        <w:rPr>
          <w:i/>
        </w:rPr>
        <w:t>Narrative Means to Therapeutic Ends</w:t>
      </w:r>
      <w:r>
        <w:t>. New York: W.W. Norton.</w:t>
      </w:r>
    </w:p>
    <w:p w14:paraId="00CB480F" w14:textId="77777777" w:rsidR="000C6F5D" w:rsidRDefault="00000000">
      <w:pPr>
        <w:spacing w:after="120"/>
        <w:ind w:left="360" w:hanging="360"/>
      </w:pPr>
      <w:r>
        <w:t xml:space="preserve">Witkowski, T. (2010) ‘Thirty-five years of research on neuro-linguistic programming: NLP research data base. State of the art or pseudoscientific decoration?’, </w:t>
      </w:r>
      <w:r>
        <w:rPr>
          <w:i/>
        </w:rPr>
        <w:t>Polish Psychological Bulletin</w:t>
      </w:r>
      <w:r>
        <w:t xml:space="preserve">, 41(2), pp. 58–66. </w:t>
      </w:r>
      <w:hyperlink r:id="rId29">
        <w:r>
          <w:rPr>
            <w:color w:val="2F6F68"/>
            <w:u w:val="single"/>
          </w:rPr>
          <w:t>https://doi.org/10.2478/v10059-010-0008-0</w:t>
        </w:r>
      </w:hyperlink>
      <w:r>
        <w:t>.</w:t>
      </w:r>
    </w:p>
    <w:p w14:paraId="1198142F" w14:textId="77777777" w:rsidR="000C6F5D" w:rsidRDefault="00000000">
      <w:pPr>
        <w:spacing w:after="120"/>
        <w:ind w:left="360" w:hanging="360"/>
      </w:pPr>
      <w:r>
        <w:t xml:space="preserve">World Health Organization (2022) </w:t>
      </w:r>
      <w:r>
        <w:rPr>
          <w:i/>
        </w:rPr>
        <w:t>WHO guidelines on mental health at work</w:t>
      </w:r>
      <w:r>
        <w:t xml:space="preserve">. Geneva: World Health Organization. Available at: </w:t>
      </w:r>
      <w:hyperlink r:id="rId30">
        <w:r>
          <w:rPr>
            <w:color w:val="2F6F68"/>
            <w:u w:val="single"/>
          </w:rPr>
          <w:t>https://www.who.int/publications/i/item/9789240053052</w:t>
        </w:r>
      </w:hyperlink>
      <w:r>
        <w:t xml:space="preserve"> (Accessed: 5 September 2026).</w:t>
      </w:r>
    </w:p>
    <w:sectPr w:rsidR="000C6F5D" w:rsidSect="00034616">
      <w:headerReference w:type="default" r:id="rId31"/>
      <w:footerReference w:type="default" r:id="rId32"/>
      <w:pgSz w:w="11906" w:h="16838"/>
      <w:pgMar w:top="1080" w:right="1181" w:bottom="1037"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0173F" w14:textId="77777777" w:rsidR="00485926" w:rsidRDefault="00485926">
      <w:pPr>
        <w:spacing w:after="0" w:line="240" w:lineRule="auto"/>
      </w:pPr>
      <w:r>
        <w:separator/>
      </w:r>
    </w:p>
  </w:endnote>
  <w:endnote w:type="continuationSeparator" w:id="0">
    <w:p w14:paraId="12CAA67F" w14:textId="77777777" w:rsidR="00485926" w:rsidRDefault="00485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9D24" w14:textId="77777777" w:rsidR="000C6F5D" w:rsidRDefault="00000000">
    <w:pPr>
      <w:pStyle w:val="Footer"/>
      <w:jc w:val="right"/>
    </w:pPr>
    <w:r>
      <w:fldChar w:fldCharType="begin"/>
    </w:r>
    <w:r>
      <w:instrText xml:space="preserve"> PAGE </w:instrText>
    </w:r>
    <w:r w:rsidR="00944422">
      <w:fldChar w:fldCharType="separate"/>
    </w:r>
    <w:r w:rsidR="00944422">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D26F" w14:textId="77777777" w:rsidR="00485926" w:rsidRDefault="00485926">
      <w:pPr>
        <w:spacing w:after="0" w:line="240" w:lineRule="auto"/>
      </w:pPr>
      <w:r>
        <w:separator/>
      </w:r>
    </w:p>
  </w:footnote>
  <w:footnote w:type="continuationSeparator" w:id="0">
    <w:p w14:paraId="1209ECDF" w14:textId="77777777" w:rsidR="00485926" w:rsidRDefault="00485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F7FD" w14:textId="6EB0A0C7" w:rsidR="007E4FBE" w:rsidRDefault="007E4FBE">
    <w:pPr>
      <w:pStyle w:val="Header"/>
      <w:jc w:val="right"/>
      <w:rPr>
        <w:noProof/>
        <w:color w:val="666666"/>
        <w:sz w:val="16"/>
      </w:rPr>
    </w:pPr>
    <w:r>
      <w:rPr>
        <w:noProof/>
        <w:color w:val="666666"/>
        <w:sz w:val="16"/>
      </w:rPr>
      <w:drawing>
        <wp:anchor distT="0" distB="0" distL="114300" distR="114300" simplePos="0" relativeHeight="251658240" behindDoc="0" locked="0" layoutInCell="1" allowOverlap="1" wp14:anchorId="3FF7BC0A" wp14:editId="33C3CEBC">
          <wp:simplePos x="0" y="0"/>
          <wp:positionH relativeFrom="column">
            <wp:posOffset>-3175</wp:posOffset>
          </wp:positionH>
          <wp:positionV relativeFrom="paragraph">
            <wp:posOffset>-281940</wp:posOffset>
          </wp:positionV>
          <wp:extent cx="1063547" cy="420370"/>
          <wp:effectExtent l="0" t="0" r="0" b="0"/>
          <wp:wrapThrough wrapText="bothSides">
            <wp:wrapPolygon edited="0">
              <wp:start x="8129" y="0"/>
              <wp:lineTo x="2710" y="1958"/>
              <wp:lineTo x="1161" y="4894"/>
              <wp:lineTo x="1161" y="17619"/>
              <wp:lineTo x="7742" y="20556"/>
              <wp:lineTo x="11226" y="20556"/>
              <wp:lineTo x="13161" y="20556"/>
              <wp:lineTo x="14323" y="20556"/>
              <wp:lineTo x="20129" y="16640"/>
              <wp:lineTo x="20516" y="11746"/>
              <wp:lineTo x="17032" y="2937"/>
              <wp:lineTo x="13161" y="0"/>
              <wp:lineTo x="8129" y="0"/>
            </wp:wrapPolygon>
          </wp:wrapThrough>
          <wp:docPr id="17711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1701" name="Picture 177111701"/>
                  <pic:cNvPicPr/>
                </pic:nvPicPr>
                <pic:blipFill rotWithShape="1">
                  <a:blip r:embed="rId1"/>
                  <a:srcRect t="31204" b="29271"/>
                  <a:stretch>
                    <a:fillRect/>
                  </a:stretch>
                </pic:blipFill>
                <pic:spPr bwMode="auto">
                  <a:xfrm>
                    <a:off x="0" y="0"/>
                    <a:ext cx="1063547" cy="420370"/>
                  </a:xfrm>
                  <a:prstGeom prst="rect">
                    <a:avLst/>
                  </a:prstGeom>
                  <a:ln>
                    <a:noFill/>
                  </a:ln>
                  <a:extLst>
                    <a:ext uri="{53640926-AAD7-44D8-BBD7-CCE9431645EC}">
                      <a14:shadowObscured xmlns:a14="http://schemas.microsoft.com/office/drawing/2010/main"/>
                    </a:ext>
                  </a:extLst>
                </pic:spPr>
              </pic:pic>
            </a:graphicData>
          </a:graphic>
        </wp:anchor>
      </w:drawing>
    </w:r>
  </w:p>
  <w:p w14:paraId="736F2C1E" w14:textId="51FCEA2D" w:rsidR="000C6F5D" w:rsidRDefault="00000000">
    <w:pPr>
      <w:pStyle w:val="Header"/>
      <w:jc w:val="right"/>
    </w:pPr>
    <w:r>
      <w:rPr>
        <w:color w:val="666666"/>
        <w:sz w:val="16"/>
      </w:rPr>
      <w:t xml:space="preserve">THE HAPPY CITTA </w:t>
    </w:r>
    <w:proofErr w:type="gramStart"/>
    <w:r>
      <w:rPr>
        <w:color w:val="666666"/>
        <w:sz w:val="16"/>
      </w:rPr>
      <w:t>METHOD  |</w:t>
    </w:r>
    <w:proofErr w:type="gramEnd"/>
    <w:r>
      <w:rPr>
        <w:color w:val="666666"/>
        <w:sz w:val="16"/>
      </w:rPr>
      <w:t xml:space="preserve">  WORKING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0E92453"/>
    <w:multiLevelType w:val="hybridMultilevel"/>
    <w:tmpl w:val="8444C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08798D"/>
    <w:multiLevelType w:val="hybridMultilevel"/>
    <w:tmpl w:val="1804DB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7051466">
    <w:abstractNumId w:val="8"/>
  </w:num>
  <w:num w:numId="2" w16cid:durableId="855777524">
    <w:abstractNumId w:val="6"/>
  </w:num>
  <w:num w:numId="3" w16cid:durableId="585262328">
    <w:abstractNumId w:val="5"/>
  </w:num>
  <w:num w:numId="4" w16cid:durableId="679312839">
    <w:abstractNumId w:val="4"/>
  </w:num>
  <w:num w:numId="5" w16cid:durableId="676812945">
    <w:abstractNumId w:val="7"/>
  </w:num>
  <w:num w:numId="6" w16cid:durableId="1766073276">
    <w:abstractNumId w:val="3"/>
  </w:num>
  <w:num w:numId="7" w16cid:durableId="2069448964">
    <w:abstractNumId w:val="2"/>
  </w:num>
  <w:num w:numId="8" w16cid:durableId="1904411484">
    <w:abstractNumId w:val="1"/>
  </w:num>
  <w:num w:numId="9" w16cid:durableId="1795321071">
    <w:abstractNumId w:val="0"/>
  </w:num>
  <w:num w:numId="10" w16cid:durableId="632953332">
    <w:abstractNumId w:val="9"/>
  </w:num>
  <w:num w:numId="11" w16cid:durableId="7499355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F5D"/>
    <w:rsid w:val="0015074B"/>
    <w:rsid w:val="0029639D"/>
    <w:rsid w:val="00326F90"/>
    <w:rsid w:val="003B18D3"/>
    <w:rsid w:val="00475802"/>
    <w:rsid w:val="00485926"/>
    <w:rsid w:val="004F60B4"/>
    <w:rsid w:val="007E4FBE"/>
    <w:rsid w:val="008778C9"/>
    <w:rsid w:val="008923F2"/>
    <w:rsid w:val="00944422"/>
    <w:rsid w:val="00A96C95"/>
    <w:rsid w:val="00AA1D8D"/>
    <w:rsid w:val="00AE2797"/>
    <w:rsid w:val="00B47730"/>
    <w:rsid w:val="00C55DB3"/>
    <w:rsid w:val="00CB0664"/>
    <w:rsid w:val="00E94A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01554F"/>
  <w14:defaultImageDpi w14:val="300"/>
  <w15:docId w15:val="{76FFDA55-3D6A-4104-A48A-8A34834BE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ptos" w:hAnsi="Aptos"/>
      <w:color w:val="263634"/>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2F6F68"/>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B96F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20" w:line="240" w:lineRule="auto"/>
      <w:contextualSpacing/>
    </w:pPr>
    <w:rPr>
      <w:rFonts w:asciiTheme="majorHAnsi" w:eastAsiaTheme="majorEastAsia" w:hAnsiTheme="majorHAnsi" w:cstheme="majorBidi"/>
      <w:b/>
      <w:color w:val="2F6F6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66666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acp.co.uk/events-and-resources/ethics-and-standards/ethical-framework-for-the-counselling-professions/" TargetMode="External"/><Relationship Id="rId18" Type="http://schemas.openxmlformats.org/officeDocument/2006/relationships/hyperlink" Target="https://doi.org/10.1016/S0065-2601(06)38002-1" TargetMode="External"/><Relationship Id="rId26" Type="http://schemas.openxmlformats.org/officeDocument/2006/relationships/hyperlink" Target="https://doi.org/10.1177/0030222817691870" TargetMode="External"/><Relationship Id="rId3" Type="http://schemas.openxmlformats.org/officeDocument/2006/relationships/styles" Target="styles.xml"/><Relationship Id="rId21" Type="http://schemas.openxmlformats.org/officeDocument/2006/relationships/hyperlink" Target="https://doi.org/10.1016/j.beth.2017.06.00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m.org.uk/apm-body-of-knowledge/" TargetMode="External"/><Relationship Id="rId17" Type="http://schemas.openxmlformats.org/officeDocument/2006/relationships/hyperlink" Target="https://doi.org/10.1037/0003-066X.54.7.493" TargetMode="External"/><Relationship Id="rId25" Type="http://schemas.openxmlformats.org/officeDocument/2006/relationships/hyperlink" Target="https://doi.org/10.1136/bmj.n206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37/pst0000172" TargetMode="External"/><Relationship Id="rId20" Type="http://schemas.openxmlformats.org/officeDocument/2006/relationships/hyperlink" Target="https://doi.org/10.1177/1049731507307807" TargetMode="External"/><Relationship Id="rId29" Type="http://schemas.openxmlformats.org/officeDocument/2006/relationships/hyperlink" Target="https://doi.org/10.2478/v10059-010-00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59/000365764" TargetMode="External"/><Relationship Id="rId24" Type="http://schemas.openxmlformats.org/officeDocument/2006/relationships/hyperlink" Target="https://doi.org/10.2196/4966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2196/jmir.6588" TargetMode="External"/><Relationship Id="rId23" Type="http://schemas.openxmlformats.org/officeDocument/2006/relationships/hyperlink" Target="https://www.nice.org.uk/corporate/ecd7" TargetMode="External"/><Relationship Id="rId28" Type="http://schemas.openxmlformats.org/officeDocument/2006/relationships/hyperlink" Target="https://doi.org/10.1037/a0037167" TargetMode="External"/><Relationship Id="rId10" Type="http://schemas.openxmlformats.org/officeDocument/2006/relationships/image" Target="media/image3.svg"/><Relationship Id="rId19" Type="http://schemas.openxmlformats.org/officeDocument/2006/relationships/hyperlink" Target="https://ico.org.uk/for-organisations/uk-gdpr-guidance-and-resources/accountability-and-governance/data-protection-impact-assessments-dpia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16/j.cpr.2005.07.003" TargetMode="External"/><Relationship Id="rId22" Type="http://schemas.openxmlformats.org/officeDocument/2006/relationships/hyperlink" Target="https://doi.org/10.1186/1748-5908-6-42" TargetMode="External"/><Relationship Id="rId27" Type="http://schemas.openxmlformats.org/officeDocument/2006/relationships/hyperlink" Target="https://doi.org/10.1037/h0022100" TargetMode="External"/><Relationship Id="rId30" Type="http://schemas.openxmlformats.org/officeDocument/2006/relationships/hyperlink" Target="https://www.who.int/publications/i/item/9789240053052"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12</Pages>
  <Words>5254</Words>
  <Characters>29948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The Happy Citta Method: Foundations, Framework and Evidence</vt:lpstr>
    </vt:vector>
  </TitlesOfParts>
  <Manager/>
  <Company/>
  <LinksUpToDate>false</LinksUpToDate>
  <CharactersWithSpaces>35132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Happy Citta Method: Foundations, Framework and Evidence</dc:title>
  <dc:subject>Foundations, framework and evidence for the Happy Citta Method</dc:subject>
  <dc:creator>Happy Citta / Katy Wicks</dc:creator>
  <cp:keywords>Happy Citta; behaviour change; psychology; project delivery; workplace wellbeing</cp:keywords>
  <dc:description>generated by python-docx</dc:description>
  <cp:lastModifiedBy>Katy Wicks</cp:lastModifiedBy>
  <cp:revision>5</cp:revision>
  <dcterms:created xsi:type="dcterms:W3CDTF">2026-09-12T10:43:00Z</dcterms:created>
  <dcterms:modified xsi:type="dcterms:W3CDTF">2026-09-12T20:51:00Z</dcterms:modified>
  <cp:category/>
</cp:coreProperties>
</file>